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9EBF" w14:textId="77777777" w:rsidR="00FE1BC0" w:rsidRPr="00EF782A" w:rsidRDefault="00FE1BC0"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Gabriel Salgado</w:t>
      </w:r>
      <w:r w:rsidRPr="00EF782A">
        <w:rPr>
          <w:rFonts w:ascii="Times New Roman" w:hAnsi="Times New Roman" w:cs="Times New Roman"/>
          <w:sz w:val="24"/>
          <w:szCs w:val="24"/>
        </w:rPr>
        <w:tab/>
      </w:r>
      <w:r w:rsidRPr="00EF782A">
        <w:rPr>
          <w:rFonts w:ascii="Times New Roman" w:hAnsi="Times New Roman" w:cs="Times New Roman"/>
          <w:sz w:val="24"/>
          <w:szCs w:val="24"/>
        </w:rPr>
        <w:tab/>
      </w:r>
      <w:r w:rsidRPr="00EF782A">
        <w:rPr>
          <w:rFonts w:ascii="Times New Roman" w:hAnsi="Times New Roman" w:cs="Times New Roman"/>
          <w:sz w:val="24"/>
          <w:szCs w:val="24"/>
        </w:rPr>
        <w:tab/>
      </w:r>
      <w:r w:rsidRPr="00067509">
        <w:rPr>
          <w:rFonts w:ascii="Times New Roman" w:hAnsi="Times New Roman" w:cs="Times New Roman"/>
          <w:b/>
          <w:sz w:val="24"/>
          <w:szCs w:val="24"/>
        </w:rPr>
        <w:t>1449</w:t>
      </w:r>
    </w:p>
    <w:p w14:paraId="4990085D" w14:textId="77777777" w:rsidR="00FE1BC0" w:rsidRPr="00EF782A" w:rsidRDefault="00FE1BC0" w:rsidP="00EF782A">
      <w:pPr>
        <w:spacing w:after="0" w:line="480" w:lineRule="auto"/>
        <w:rPr>
          <w:rFonts w:ascii="Times New Roman" w:hAnsi="Times New Roman" w:cs="Times New Roman"/>
          <w:sz w:val="24"/>
          <w:szCs w:val="24"/>
        </w:rPr>
      </w:pPr>
    </w:p>
    <w:p w14:paraId="359DAA48" w14:textId="2B086D2F" w:rsidR="00B8155D" w:rsidRPr="00EF782A" w:rsidRDefault="00B8155D"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t xml:space="preserve">On </w:t>
      </w:r>
      <w:r w:rsidR="00F87F32" w:rsidRPr="00EF782A">
        <w:rPr>
          <w:rFonts w:ascii="Times New Roman" w:hAnsi="Times New Roman" w:cs="Times New Roman"/>
          <w:sz w:val="24"/>
          <w:szCs w:val="24"/>
        </w:rPr>
        <w:t>January 26</w:t>
      </w:r>
      <w:r w:rsidR="00F87F32" w:rsidRPr="00EF782A">
        <w:rPr>
          <w:rFonts w:ascii="Times New Roman" w:hAnsi="Times New Roman" w:cs="Times New Roman"/>
          <w:sz w:val="24"/>
          <w:szCs w:val="24"/>
          <w:vertAlign w:val="superscript"/>
        </w:rPr>
        <w:t>th</w:t>
      </w:r>
      <w:r w:rsidR="00F87F32" w:rsidRPr="00EF782A">
        <w:rPr>
          <w:rFonts w:ascii="Times New Roman" w:hAnsi="Times New Roman" w:cs="Times New Roman"/>
          <w:sz w:val="24"/>
          <w:szCs w:val="24"/>
        </w:rPr>
        <w:t xml:space="preserve"> or 27</w:t>
      </w:r>
      <w:r w:rsidR="00F87F32" w:rsidRPr="00EF782A">
        <w:rPr>
          <w:rFonts w:ascii="Times New Roman" w:hAnsi="Times New Roman" w:cs="Times New Roman"/>
          <w:sz w:val="24"/>
          <w:szCs w:val="24"/>
          <w:vertAlign w:val="superscript"/>
        </w:rPr>
        <w:t>th</w:t>
      </w:r>
      <w:r w:rsidR="00B10965" w:rsidRPr="00EF782A">
        <w:rPr>
          <w:rFonts w:ascii="Times New Roman" w:hAnsi="Times New Roman" w:cs="Times New Roman"/>
          <w:sz w:val="24"/>
          <w:szCs w:val="24"/>
        </w:rPr>
        <w:t xml:space="preserve">, </w:t>
      </w:r>
      <w:r w:rsidR="00133272" w:rsidRPr="00EF782A">
        <w:rPr>
          <w:rFonts w:ascii="Times New Roman" w:hAnsi="Times New Roman" w:cs="Times New Roman"/>
          <w:sz w:val="24"/>
          <w:szCs w:val="24"/>
        </w:rPr>
        <w:t>1449</w:t>
      </w:r>
      <w:r w:rsidR="00B10965" w:rsidRPr="00EF782A">
        <w:rPr>
          <w:rFonts w:ascii="Times New Roman" w:hAnsi="Times New Roman" w:cs="Times New Roman"/>
          <w:sz w:val="24"/>
          <w:szCs w:val="24"/>
        </w:rPr>
        <w:t>,</w:t>
      </w:r>
      <w:r w:rsidR="00133272" w:rsidRPr="00EF782A">
        <w:rPr>
          <w:rFonts w:ascii="Times New Roman" w:hAnsi="Times New Roman" w:cs="Times New Roman"/>
          <w:sz w:val="24"/>
          <w:szCs w:val="24"/>
        </w:rPr>
        <w:t xml:space="preserve"> </w:t>
      </w:r>
      <w:r w:rsidR="00F87F32" w:rsidRPr="00EF782A">
        <w:rPr>
          <w:rFonts w:ascii="Times New Roman" w:hAnsi="Times New Roman" w:cs="Times New Roman"/>
          <w:sz w:val="24"/>
          <w:szCs w:val="24"/>
        </w:rPr>
        <w:t>Alonso Cota</w:t>
      </w:r>
      <w:r w:rsidR="00276EAF" w:rsidRPr="00EF782A">
        <w:rPr>
          <w:rFonts w:ascii="Times New Roman" w:hAnsi="Times New Roman" w:cs="Times New Roman"/>
          <w:sz w:val="24"/>
          <w:szCs w:val="24"/>
        </w:rPr>
        <w:t>, a converso tax farmer and treasurer of Toledo,</w:t>
      </w:r>
      <w:r w:rsidR="00F87F32" w:rsidRPr="00EF782A">
        <w:rPr>
          <w:rFonts w:ascii="Times New Roman" w:hAnsi="Times New Roman" w:cs="Times New Roman"/>
          <w:sz w:val="24"/>
          <w:szCs w:val="24"/>
        </w:rPr>
        <w:t xml:space="preserve"> was attempting to collect payments on a controversial new tax.</w:t>
      </w:r>
      <w:r w:rsidR="00FA6560" w:rsidRPr="00EF782A">
        <w:rPr>
          <w:rStyle w:val="FootnoteReference"/>
          <w:rFonts w:ascii="Times New Roman" w:hAnsi="Times New Roman" w:cs="Times New Roman"/>
          <w:sz w:val="24"/>
          <w:szCs w:val="24"/>
        </w:rPr>
        <w:footnoteReference w:id="1"/>
      </w:r>
      <w:r w:rsidR="00616C68" w:rsidRPr="00EF782A">
        <w:rPr>
          <w:rFonts w:ascii="Times New Roman" w:hAnsi="Times New Roman" w:cs="Times New Roman"/>
          <w:sz w:val="24"/>
          <w:szCs w:val="24"/>
        </w:rPr>
        <w:t xml:space="preserve"> </w:t>
      </w:r>
      <w:r w:rsidR="00133272" w:rsidRPr="00EF782A">
        <w:rPr>
          <w:rFonts w:ascii="Times New Roman" w:hAnsi="Times New Roman" w:cs="Times New Roman"/>
          <w:sz w:val="24"/>
          <w:szCs w:val="24"/>
        </w:rPr>
        <w:t>Cota</w:t>
      </w:r>
      <w:r w:rsidR="004C3A7B" w:rsidRPr="00EF782A">
        <w:rPr>
          <w:rFonts w:ascii="Times New Roman" w:hAnsi="Times New Roman" w:cs="Times New Roman"/>
          <w:sz w:val="24"/>
          <w:szCs w:val="24"/>
        </w:rPr>
        <w:t xml:space="preserve"> </w:t>
      </w:r>
      <w:r w:rsidR="007628C9" w:rsidRPr="00EF782A">
        <w:rPr>
          <w:rFonts w:ascii="Times New Roman" w:hAnsi="Times New Roman" w:cs="Times New Roman"/>
          <w:sz w:val="24"/>
          <w:szCs w:val="24"/>
        </w:rPr>
        <w:t xml:space="preserve">worked under the direction of Alvaro de Luna, constable of King Juan II, who had </w:t>
      </w:r>
      <w:r w:rsidR="00BC0157">
        <w:rPr>
          <w:rFonts w:ascii="Times New Roman" w:hAnsi="Times New Roman" w:cs="Times New Roman"/>
          <w:sz w:val="24"/>
          <w:szCs w:val="24"/>
        </w:rPr>
        <w:t>traveled to</w:t>
      </w:r>
      <w:r w:rsidR="007628C9" w:rsidRPr="00EF782A">
        <w:rPr>
          <w:rFonts w:ascii="Times New Roman" w:hAnsi="Times New Roman" w:cs="Times New Roman"/>
          <w:sz w:val="24"/>
          <w:szCs w:val="24"/>
        </w:rPr>
        <w:t xml:space="preserve"> Toledo several days earlier </w:t>
      </w:r>
      <w:r w:rsidR="00BC0157">
        <w:rPr>
          <w:rFonts w:ascii="Times New Roman" w:hAnsi="Times New Roman" w:cs="Times New Roman"/>
          <w:sz w:val="24"/>
          <w:szCs w:val="24"/>
        </w:rPr>
        <w:t>to</w:t>
      </w:r>
      <w:r w:rsidR="00AF3CFA" w:rsidRPr="00EF782A">
        <w:rPr>
          <w:rFonts w:ascii="Times New Roman" w:hAnsi="Times New Roman" w:cs="Times New Roman"/>
          <w:sz w:val="24"/>
          <w:szCs w:val="24"/>
        </w:rPr>
        <w:t xml:space="preserve"> </w:t>
      </w:r>
      <w:r w:rsidR="00BC0157">
        <w:rPr>
          <w:rFonts w:ascii="Times New Roman" w:hAnsi="Times New Roman" w:cs="Times New Roman"/>
          <w:sz w:val="24"/>
          <w:szCs w:val="24"/>
        </w:rPr>
        <w:t>reject</w:t>
      </w:r>
      <w:r w:rsidR="00AF3CFA" w:rsidRPr="00EF782A">
        <w:rPr>
          <w:rFonts w:ascii="Times New Roman" w:hAnsi="Times New Roman" w:cs="Times New Roman"/>
          <w:sz w:val="24"/>
          <w:szCs w:val="24"/>
        </w:rPr>
        <w:t xml:space="preserve"> the city council</w:t>
      </w:r>
      <w:r w:rsidR="00BC0157">
        <w:rPr>
          <w:rFonts w:ascii="Times New Roman" w:hAnsi="Times New Roman" w:cs="Times New Roman"/>
          <w:sz w:val="24"/>
          <w:szCs w:val="24"/>
        </w:rPr>
        <w:t>’s</w:t>
      </w:r>
      <w:r w:rsidR="00AF3CFA" w:rsidRPr="00EF782A">
        <w:rPr>
          <w:rFonts w:ascii="Times New Roman" w:hAnsi="Times New Roman" w:cs="Times New Roman"/>
          <w:sz w:val="24"/>
          <w:szCs w:val="24"/>
        </w:rPr>
        <w:t xml:space="preserve"> </w:t>
      </w:r>
      <w:r w:rsidR="00BC0157">
        <w:rPr>
          <w:rFonts w:ascii="Times New Roman" w:hAnsi="Times New Roman" w:cs="Times New Roman"/>
          <w:sz w:val="24"/>
          <w:szCs w:val="24"/>
        </w:rPr>
        <w:t>request for</w:t>
      </w:r>
      <w:r w:rsidR="00AF3CFA" w:rsidRPr="00EF782A">
        <w:rPr>
          <w:rFonts w:ascii="Times New Roman" w:hAnsi="Times New Roman" w:cs="Times New Roman"/>
          <w:sz w:val="24"/>
          <w:szCs w:val="24"/>
        </w:rPr>
        <w:t xml:space="preserve"> an exemption from the tax. As Cota went to </w:t>
      </w:r>
      <w:r w:rsidR="00133272" w:rsidRPr="00EF782A">
        <w:rPr>
          <w:rFonts w:ascii="Times New Roman" w:hAnsi="Times New Roman" w:cs="Times New Roman"/>
          <w:sz w:val="24"/>
          <w:szCs w:val="24"/>
        </w:rPr>
        <w:t>imprison an artisan who r</w:t>
      </w:r>
      <w:r w:rsidR="00AF3CFA" w:rsidRPr="00EF782A">
        <w:rPr>
          <w:rFonts w:ascii="Times New Roman" w:hAnsi="Times New Roman" w:cs="Times New Roman"/>
          <w:sz w:val="24"/>
          <w:szCs w:val="24"/>
        </w:rPr>
        <w:t>efused to pay</w:t>
      </w:r>
      <w:r w:rsidR="00315065" w:rsidRPr="00EF782A">
        <w:rPr>
          <w:rFonts w:ascii="Times New Roman" w:hAnsi="Times New Roman" w:cs="Times New Roman"/>
          <w:sz w:val="24"/>
          <w:szCs w:val="24"/>
        </w:rPr>
        <w:t>,</w:t>
      </w:r>
      <w:r w:rsidR="00AF3CFA" w:rsidRPr="00EF782A">
        <w:rPr>
          <w:rFonts w:ascii="Times New Roman" w:hAnsi="Times New Roman" w:cs="Times New Roman"/>
          <w:sz w:val="24"/>
          <w:szCs w:val="24"/>
        </w:rPr>
        <w:t xml:space="preserve"> mayhem broke out. </w:t>
      </w:r>
      <w:r w:rsidR="00EA5E58" w:rsidRPr="00EF782A">
        <w:rPr>
          <w:rFonts w:ascii="Times New Roman" w:hAnsi="Times New Roman" w:cs="Times New Roman"/>
          <w:sz w:val="24"/>
          <w:szCs w:val="24"/>
        </w:rPr>
        <w:t xml:space="preserve">The townspeople were called to attention by the </w:t>
      </w:r>
      <w:r w:rsidR="001B5958" w:rsidRPr="00EF782A">
        <w:rPr>
          <w:rFonts w:ascii="Times New Roman" w:hAnsi="Times New Roman" w:cs="Times New Roman"/>
          <w:sz w:val="24"/>
          <w:szCs w:val="24"/>
        </w:rPr>
        <w:t xml:space="preserve">ringing of the </w:t>
      </w:r>
      <w:r w:rsidR="00332549" w:rsidRPr="00EF782A">
        <w:rPr>
          <w:rFonts w:ascii="Times New Roman" w:hAnsi="Times New Roman" w:cs="Times New Roman"/>
          <w:sz w:val="24"/>
          <w:szCs w:val="24"/>
        </w:rPr>
        <w:t>c</w:t>
      </w:r>
      <w:r w:rsidR="001B5958" w:rsidRPr="00EF782A">
        <w:rPr>
          <w:rFonts w:ascii="Times New Roman" w:hAnsi="Times New Roman" w:cs="Times New Roman"/>
          <w:sz w:val="24"/>
          <w:szCs w:val="24"/>
        </w:rPr>
        <w:t xml:space="preserve">athedral’s church </w:t>
      </w:r>
      <w:r w:rsidR="002B73D0" w:rsidRPr="00EF782A">
        <w:rPr>
          <w:rFonts w:ascii="Times New Roman" w:hAnsi="Times New Roman" w:cs="Times New Roman"/>
          <w:sz w:val="24"/>
          <w:szCs w:val="24"/>
        </w:rPr>
        <w:t xml:space="preserve">bell. Once assembled </w:t>
      </w:r>
      <w:r w:rsidR="001B5958" w:rsidRPr="00EF782A">
        <w:rPr>
          <w:rFonts w:ascii="Times New Roman" w:hAnsi="Times New Roman" w:cs="Times New Roman"/>
          <w:sz w:val="24"/>
          <w:szCs w:val="24"/>
        </w:rPr>
        <w:t xml:space="preserve">they </w:t>
      </w:r>
      <w:r w:rsidR="00C34C2F" w:rsidRPr="00EF782A">
        <w:rPr>
          <w:rFonts w:ascii="Times New Roman" w:hAnsi="Times New Roman" w:cs="Times New Roman"/>
          <w:sz w:val="24"/>
          <w:szCs w:val="24"/>
        </w:rPr>
        <w:t>advanced to the Magdalena neighborhood, where Cota and other</w:t>
      </w:r>
      <w:r w:rsidR="00FD1D76">
        <w:rPr>
          <w:rFonts w:ascii="Times New Roman" w:hAnsi="Times New Roman" w:cs="Times New Roman"/>
          <w:sz w:val="24"/>
          <w:szCs w:val="24"/>
        </w:rPr>
        <w:t xml:space="preserve"> wealthy</w:t>
      </w:r>
      <w:r w:rsidR="00C34C2F" w:rsidRPr="00EF782A">
        <w:rPr>
          <w:rFonts w:ascii="Times New Roman" w:hAnsi="Times New Roman" w:cs="Times New Roman"/>
          <w:sz w:val="24"/>
          <w:szCs w:val="24"/>
        </w:rPr>
        <w:t xml:space="preserve"> conversos lived, and sacked and burned his house and several others.</w:t>
      </w:r>
      <w:r w:rsidR="00C34C2F" w:rsidRPr="00EF782A">
        <w:rPr>
          <w:rStyle w:val="FootnoteReference"/>
          <w:rFonts w:ascii="Times New Roman" w:hAnsi="Times New Roman" w:cs="Times New Roman"/>
          <w:sz w:val="24"/>
          <w:szCs w:val="24"/>
        </w:rPr>
        <w:footnoteReference w:id="2"/>
      </w:r>
      <w:r w:rsidR="00C34C2F" w:rsidRPr="00EF782A">
        <w:rPr>
          <w:rFonts w:ascii="Times New Roman" w:hAnsi="Times New Roman" w:cs="Times New Roman"/>
          <w:sz w:val="24"/>
          <w:szCs w:val="24"/>
        </w:rPr>
        <w:t xml:space="preserve"> </w:t>
      </w:r>
      <w:r w:rsidR="003265F1" w:rsidRPr="00EF782A">
        <w:rPr>
          <w:rFonts w:ascii="Times New Roman" w:hAnsi="Times New Roman" w:cs="Times New Roman"/>
          <w:sz w:val="24"/>
          <w:szCs w:val="24"/>
        </w:rPr>
        <w:t xml:space="preserve">From there </w:t>
      </w:r>
      <w:r w:rsidR="003869B0" w:rsidRPr="00EF782A">
        <w:rPr>
          <w:rFonts w:ascii="Times New Roman" w:hAnsi="Times New Roman" w:cs="Times New Roman"/>
          <w:sz w:val="24"/>
          <w:szCs w:val="24"/>
        </w:rPr>
        <w:t>they proceeded to take control of the city gates and fortifi</w:t>
      </w:r>
      <w:r w:rsidR="000C6EF5" w:rsidRPr="00EF782A">
        <w:rPr>
          <w:rFonts w:ascii="Times New Roman" w:hAnsi="Times New Roman" w:cs="Times New Roman"/>
          <w:sz w:val="24"/>
          <w:szCs w:val="24"/>
        </w:rPr>
        <w:t>cations in anticipation of the k</w:t>
      </w:r>
      <w:r w:rsidR="003869B0" w:rsidRPr="00EF782A">
        <w:rPr>
          <w:rFonts w:ascii="Times New Roman" w:hAnsi="Times New Roman" w:cs="Times New Roman"/>
          <w:sz w:val="24"/>
          <w:szCs w:val="24"/>
        </w:rPr>
        <w:t>ing’s retaliation. This would come in e</w:t>
      </w:r>
      <w:r w:rsidR="00FD1D76">
        <w:rPr>
          <w:rFonts w:ascii="Times New Roman" w:hAnsi="Times New Roman" w:cs="Times New Roman"/>
          <w:sz w:val="24"/>
          <w:szCs w:val="24"/>
        </w:rPr>
        <w:t xml:space="preserve">arly May, when he arrived </w:t>
      </w:r>
      <w:r w:rsidR="003869B0" w:rsidRPr="00EF782A">
        <w:rPr>
          <w:rFonts w:ascii="Times New Roman" w:hAnsi="Times New Roman" w:cs="Times New Roman"/>
          <w:sz w:val="24"/>
          <w:szCs w:val="24"/>
        </w:rPr>
        <w:t>with his army at the ci</w:t>
      </w:r>
      <w:r w:rsidR="00FA76B7" w:rsidRPr="00EF782A">
        <w:rPr>
          <w:rFonts w:ascii="Times New Roman" w:hAnsi="Times New Roman" w:cs="Times New Roman"/>
          <w:sz w:val="24"/>
          <w:szCs w:val="24"/>
        </w:rPr>
        <w:t xml:space="preserve">ty walls. </w:t>
      </w:r>
      <w:r w:rsidR="00E22E30">
        <w:rPr>
          <w:rFonts w:ascii="Times New Roman" w:hAnsi="Times New Roman" w:cs="Times New Roman"/>
          <w:sz w:val="24"/>
          <w:szCs w:val="24"/>
        </w:rPr>
        <w:t xml:space="preserve">Juan II was </w:t>
      </w:r>
      <w:r w:rsidR="00E22E30" w:rsidRPr="00EF782A">
        <w:rPr>
          <w:rFonts w:ascii="Times New Roman" w:hAnsi="Times New Roman" w:cs="Times New Roman"/>
          <w:sz w:val="24"/>
          <w:szCs w:val="24"/>
        </w:rPr>
        <w:t>unable to put a quick stop to the uprising</w:t>
      </w:r>
      <w:r w:rsidR="00E22E30">
        <w:rPr>
          <w:rFonts w:ascii="Times New Roman" w:hAnsi="Times New Roman" w:cs="Times New Roman"/>
          <w:sz w:val="24"/>
          <w:szCs w:val="24"/>
        </w:rPr>
        <w:t xml:space="preserve">. </w:t>
      </w:r>
      <w:r w:rsidR="00FA76B7" w:rsidRPr="00EF782A">
        <w:rPr>
          <w:rFonts w:ascii="Times New Roman" w:hAnsi="Times New Roman" w:cs="Times New Roman"/>
          <w:sz w:val="24"/>
          <w:szCs w:val="24"/>
        </w:rPr>
        <w:t>Rejecting the</w:t>
      </w:r>
      <w:r w:rsidR="00E22E30">
        <w:rPr>
          <w:rFonts w:ascii="Times New Roman" w:hAnsi="Times New Roman" w:cs="Times New Roman"/>
          <w:sz w:val="24"/>
          <w:szCs w:val="24"/>
        </w:rPr>
        <w:t xml:space="preserve"> rebel’s</w:t>
      </w:r>
      <w:r w:rsidR="00FA76B7" w:rsidRPr="00EF782A">
        <w:rPr>
          <w:rFonts w:ascii="Times New Roman" w:hAnsi="Times New Roman" w:cs="Times New Roman"/>
          <w:sz w:val="24"/>
          <w:szCs w:val="24"/>
        </w:rPr>
        <w:t xml:space="preserve"> request</w:t>
      </w:r>
      <w:r w:rsidR="00FD1D76">
        <w:rPr>
          <w:rFonts w:ascii="Times New Roman" w:hAnsi="Times New Roman" w:cs="Times New Roman"/>
          <w:sz w:val="24"/>
          <w:szCs w:val="24"/>
        </w:rPr>
        <w:t xml:space="preserve"> that </w:t>
      </w:r>
      <w:r w:rsidR="00FD1D76" w:rsidRPr="00EF782A">
        <w:rPr>
          <w:rFonts w:ascii="Times New Roman" w:hAnsi="Times New Roman" w:cs="Times New Roman"/>
          <w:sz w:val="24"/>
          <w:szCs w:val="24"/>
        </w:rPr>
        <w:t>he grant the</w:t>
      </w:r>
      <w:r w:rsidR="00E22E30">
        <w:rPr>
          <w:rFonts w:ascii="Times New Roman" w:hAnsi="Times New Roman" w:cs="Times New Roman"/>
          <w:sz w:val="24"/>
          <w:szCs w:val="24"/>
        </w:rPr>
        <w:t>m</w:t>
      </w:r>
      <w:r w:rsidR="00FD1D76" w:rsidRPr="00EF782A">
        <w:rPr>
          <w:rFonts w:ascii="Times New Roman" w:hAnsi="Times New Roman" w:cs="Times New Roman"/>
          <w:sz w:val="24"/>
          <w:szCs w:val="24"/>
        </w:rPr>
        <w:t xml:space="preserve"> amnesty</w:t>
      </w:r>
      <w:r w:rsidR="003869B0" w:rsidRPr="00EF782A">
        <w:rPr>
          <w:rFonts w:ascii="Times New Roman" w:hAnsi="Times New Roman" w:cs="Times New Roman"/>
          <w:sz w:val="24"/>
          <w:szCs w:val="24"/>
        </w:rPr>
        <w:t xml:space="preserve"> </w:t>
      </w:r>
      <w:r w:rsidR="00E22E30">
        <w:rPr>
          <w:rFonts w:ascii="Times New Roman" w:hAnsi="Times New Roman" w:cs="Times New Roman"/>
          <w:sz w:val="24"/>
          <w:szCs w:val="24"/>
        </w:rPr>
        <w:t xml:space="preserve">and </w:t>
      </w:r>
      <w:r w:rsidR="003869B0" w:rsidRPr="00EF782A">
        <w:rPr>
          <w:rFonts w:ascii="Times New Roman" w:hAnsi="Times New Roman" w:cs="Times New Roman"/>
          <w:sz w:val="24"/>
          <w:szCs w:val="24"/>
        </w:rPr>
        <w:t>enter</w:t>
      </w:r>
      <w:r w:rsidR="00FD1D76">
        <w:rPr>
          <w:rFonts w:ascii="Times New Roman" w:hAnsi="Times New Roman" w:cs="Times New Roman"/>
          <w:sz w:val="24"/>
          <w:szCs w:val="24"/>
        </w:rPr>
        <w:t xml:space="preserve"> the city</w:t>
      </w:r>
      <w:r w:rsidR="003869B0" w:rsidRPr="00EF782A">
        <w:rPr>
          <w:rFonts w:ascii="Times New Roman" w:hAnsi="Times New Roman" w:cs="Times New Roman"/>
          <w:sz w:val="24"/>
          <w:szCs w:val="24"/>
        </w:rPr>
        <w:t xml:space="preserve"> with only a minimal party</w:t>
      </w:r>
      <w:r w:rsidR="00E22E30">
        <w:rPr>
          <w:rFonts w:ascii="Times New Roman" w:hAnsi="Times New Roman" w:cs="Times New Roman"/>
          <w:sz w:val="24"/>
          <w:szCs w:val="24"/>
        </w:rPr>
        <w:t xml:space="preserve">, Juan II </w:t>
      </w:r>
      <w:r w:rsidR="00E12B1B">
        <w:rPr>
          <w:rFonts w:ascii="Times New Roman" w:hAnsi="Times New Roman" w:cs="Times New Roman"/>
          <w:sz w:val="24"/>
          <w:szCs w:val="24"/>
        </w:rPr>
        <w:t>attempted</w:t>
      </w:r>
      <w:r w:rsidR="00E22E30">
        <w:rPr>
          <w:rFonts w:ascii="Times New Roman" w:hAnsi="Times New Roman" w:cs="Times New Roman"/>
          <w:sz w:val="24"/>
          <w:szCs w:val="24"/>
        </w:rPr>
        <w:t xml:space="preserve"> to regain control of the city</w:t>
      </w:r>
      <w:r w:rsidR="003869B0" w:rsidRPr="00EF782A">
        <w:rPr>
          <w:rFonts w:ascii="Times New Roman" w:hAnsi="Times New Roman" w:cs="Times New Roman"/>
          <w:sz w:val="24"/>
          <w:szCs w:val="24"/>
        </w:rPr>
        <w:t xml:space="preserve">. Pelted with projectiles from the ramparts he was forced to retreat, </w:t>
      </w:r>
      <w:r w:rsidR="00664BD2" w:rsidRPr="00EF782A">
        <w:rPr>
          <w:rFonts w:ascii="Times New Roman" w:hAnsi="Times New Roman" w:cs="Times New Roman"/>
          <w:sz w:val="24"/>
          <w:szCs w:val="24"/>
        </w:rPr>
        <w:t>leaving</w:t>
      </w:r>
      <w:r w:rsidR="006A23C7" w:rsidRPr="00EF782A">
        <w:rPr>
          <w:rFonts w:ascii="Times New Roman" w:hAnsi="Times New Roman" w:cs="Times New Roman"/>
          <w:sz w:val="24"/>
          <w:szCs w:val="24"/>
        </w:rPr>
        <w:t xml:space="preserve"> Toledo</w:t>
      </w:r>
      <w:r w:rsidR="00664BD2" w:rsidRPr="00EF782A">
        <w:rPr>
          <w:rFonts w:ascii="Times New Roman" w:hAnsi="Times New Roman" w:cs="Times New Roman"/>
          <w:sz w:val="24"/>
          <w:szCs w:val="24"/>
        </w:rPr>
        <w:t xml:space="preserve"> under the control</w:t>
      </w:r>
      <w:r w:rsidR="006A23C7" w:rsidRPr="00EF782A">
        <w:rPr>
          <w:rFonts w:ascii="Times New Roman" w:hAnsi="Times New Roman" w:cs="Times New Roman"/>
          <w:sz w:val="24"/>
          <w:szCs w:val="24"/>
        </w:rPr>
        <w:t xml:space="preserve"> </w:t>
      </w:r>
      <w:r w:rsidR="00664BD2" w:rsidRPr="00EF782A">
        <w:rPr>
          <w:rFonts w:ascii="Times New Roman" w:hAnsi="Times New Roman" w:cs="Times New Roman"/>
          <w:sz w:val="24"/>
          <w:szCs w:val="24"/>
        </w:rPr>
        <w:t>of</w:t>
      </w:r>
      <w:r w:rsidR="006A23C7" w:rsidRPr="00EF782A">
        <w:rPr>
          <w:rFonts w:ascii="Times New Roman" w:hAnsi="Times New Roman" w:cs="Times New Roman"/>
          <w:sz w:val="24"/>
          <w:szCs w:val="24"/>
        </w:rPr>
        <w:t xml:space="preserve"> Pero Sarmiento, who had emerged as the leader of the rebellion. Sarmiento</w:t>
      </w:r>
      <w:r w:rsidR="00FA76B7" w:rsidRPr="00EF782A">
        <w:rPr>
          <w:rFonts w:ascii="Times New Roman" w:hAnsi="Times New Roman" w:cs="Times New Roman"/>
          <w:sz w:val="24"/>
          <w:szCs w:val="24"/>
        </w:rPr>
        <w:t xml:space="preserve"> was a nobleman who</w:t>
      </w:r>
      <w:r w:rsidR="00D90626" w:rsidRPr="00EF782A">
        <w:rPr>
          <w:rFonts w:ascii="Times New Roman" w:hAnsi="Times New Roman" w:cs="Times New Roman"/>
          <w:sz w:val="24"/>
          <w:szCs w:val="24"/>
        </w:rPr>
        <w:t xml:space="preserve"> had briefly served as the governor of Toledo</w:t>
      </w:r>
      <w:r w:rsidR="00664BD2" w:rsidRPr="00EF782A">
        <w:rPr>
          <w:rFonts w:ascii="Times New Roman" w:hAnsi="Times New Roman" w:cs="Times New Roman"/>
          <w:sz w:val="24"/>
          <w:szCs w:val="24"/>
        </w:rPr>
        <w:t xml:space="preserve">, although </w:t>
      </w:r>
      <w:r w:rsidR="00FE51A3" w:rsidRPr="00EF782A">
        <w:rPr>
          <w:rFonts w:ascii="Times New Roman" w:hAnsi="Times New Roman" w:cs="Times New Roman"/>
          <w:sz w:val="24"/>
          <w:szCs w:val="24"/>
        </w:rPr>
        <w:t>the k</w:t>
      </w:r>
      <w:r w:rsidR="00D90626" w:rsidRPr="00EF782A">
        <w:rPr>
          <w:rFonts w:ascii="Times New Roman" w:hAnsi="Times New Roman" w:cs="Times New Roman"/>
          <w:sz w:val="24"/>
          <w:szCs w:val="24"/>
        </w:rPr>
        <w:t>ing</w:t>
      </w:r>
      <w:r w:rsidR="00664BD2" w:rsidRPr="00EF782A">
        <w:rPr>
          <w:rFonts w:ascii="Times New Roman" w:hAnsi="Times New Roman" w:cs="Times New Roman"/>
          <w:sz w:val="24"/>
          <w:szCs w:val="24"/>
        </w:rPr>
        <w:t xml:space="preserve"> had</w:t>
      </w:r>
      <w:r w:rsidR="00D90626" w:rsidRPr="00EF782A">
        <w:rPr>
          <w:rFonts w:ascii="Times New Roman" w:hAnsi="Times New Roman" w:cs="Times New Roman"/>
          <w:sz w:val="24"/>
          <w:szCs w:val="24"/>
        </w:rPr>
        <w:t xml:space="preserve"> </w:t>
      </w:r>
      <w:r w:rsidR="00664BD2" w:rsidRPr="00EF782A">
        <w:rPr>
          <w:rFonts w:ascii="Times New Roman" w:hAnsi="Times New Roman" w:cs="Times New Roman"/>
          <w:sz w:val="24"/>
          <w:szCs w:val="24"/>
        </w:rPr>
        <w:t>begu</w:t>
      </w:r>
      <w:r w:rsidR="00FD1D76">
        <w:rPr>
          <w:rFonts w:ascii="Times New Roman" w:hAnsi="Times New Roman" w:cs="Times New Roman"/>
          <w:sz w:val="24"/>
          <w:szCs w:val="24"/>
        </w:rPr>
        <w:t xml:space="preserve">n </w:t>
      </w:r>
      <w:r w:rsidR="00E700D3" w:rsidRPr="00EF782A">
        <w:rPr>
          <w:rFonts w:ascii="Times New Roman" w:hAnsi="Times New Roman" w:cs="Times New Roman"/>
          <w:sz w:val="24"/>
          <w:szCs w:val="24"/>
        </w:rPr>
        <w:t>re</w:t>
      </w:r>
      <w:r w:rsidR="00FD1D76">
        <w:rPr>
          <w:rFonts w:ascii="Times New Roman" w:hAnsi="Times New Roman" w:cs="Times New Roman"/>
          <w:sz w:val="24"/>
          <w:szCs w:val="24"/>
        </w:rPr>
        <w:t>voking</w:t>
      </w:r>
      <w:r w:rsidR="00E700D3" w:rsidRPr="00EF782A">
        <w:rPr>
          <w:rFonts w:ascii="Times New Roman" w:hAnsi="Times New Roman" w:cs="Times New Roman"/>
          <w:sz w:val="24"/>
          <w:szCs w:val="24"/>
        </w:rPr>
        <w:t xml:space="preserve"> his authority</w:t>
      </w:r>
      <w:r w:rsidR="00D90626" w:rsidRPr="00EF782A">
        <w:rPr>
          <w:rFonts w:ascii="Times New Roman" w:hAnsi="Times New Roman" w:cs="Times New Roman"/>
          <w:sz w:val="24"/>
          <w:szCs w:val="24"/>
        </w:rPr>
        <w:t xml:space="preserve"> in the lead-up to the events of 1449</w:t>
      </w:r>
      <w:r w:rsidR="00E700D3" w:rsidRPr="00EF782A">
        <w:rPr>
          <w:rFonts w:ascii="Times New Roman" w:hAnsi="Times New Roman" w:cs="Times New Roman"/>
          <w:sz w:val="24"/>
          <w:szCs w:val="24"/>
        </w:rPr>
        <w:t xml:space="preserve">. </w:t>
      </w:r>
      <w:r w:rsidR="00FA76B7" w:rsidRPr="00EF782A">
        <w:rPr>
          <w:rFonts w:ascii="Times New Roman" w:hAnsi="Times New Roman" w:cs="Times New Roman"/>
          <w:sz w:val="24"/>
          <w:szCs w:val="24"/>
        </w:rPr>
        <w:t>The apparent mastermind behind</w:t>
      </w:r>
      <w:r w:rsidR="00102374" w:rsidRPr="00EF782A">
        <w:rPr>
          <w:rFonts w:ascii="Times New Roman" w:hAnsi="Times New Roman" w:cs="Times New Roman"/>
          <w:sz w:val="24"/>
          <w:szCs w:val="24"/>
        </w:rPr>
        <w:t xml:space="preserve"> the rebellion, Sarmiento </w:t>
      </w:r>
      <w:r w:rsidR="00C64940" w:rsidRPr="00EF782A">
        <w:rPr>
          <w:rFonts w:ascii="Times New Roman" w:hAnsi="Times New Roman" w:cs="Times New Roman"/>
          <w:sz w:val="24"/>
          <w:szCs w:val="24"/>
        </w:rPr>
        <w:t xml:space="preserve">promptly targeted the converso population, carrying out a series of arrests, </w:t>
      </w:r>
      <w:r w:rsidR="00FA76B7" w:rsidRPr="00EF782A">
        <w:rPr>
          <w:rFonts w:ascii="Times New Roman" w:hAnsi="Times New Roman" w:cs="Times New Roman"/>
          <w:sz w:val="24"/>
          <w:szCs w:val="24"/>
        </w:rPr>
        <w:t>expropriations, and executions.</w:t>
      </w:r>
      <w:r w:rsidR="00DC45B7" w:rsidRPr="00EF782A">
        <w:rPr>
          <w:rFonts w:ascii="Times New Roman" w:hAnsi="Times New Roman" w:cs="Times New Roman"/>
          <w:sz w:val="24"/>
          <w:szCs w:val="24"/>
        </w:rPr>
        <w:t xml:space="preserve"> </w:t>
      </w:r>
      <w:r w:rsidR="00150EEC" w:rsidRPr="00EF782A">
        <w:rPr>
          <w:rFonts w:ascii="Times New Roman" w:hAnsi="Times New Roman" w:cs="Times New Roman"/>
          <w:sz w:val="24"/>
          <w:szCs w:val="24"/>
        </w:rPr>
        <w:t xml:space="preserve">He was joined by </w:t>
      </w:r>
      <w:r w:rsidR="00DC45B7" w:rsidRPr="00EF782A">
        <w:rPr>
          <w:rFonts w:ascii="Times New Roman" w:hAnsi="Times New Roman" w:cs="Times New Roman"/>
          <w:sz w:val="24"/>
          <w:szCs w:val="24"/>
        </w:rPr>
        <w:lastRenderedPageBreak/>
        <w:t>Marcos Garcia de Mora</w:t>
      </w:r>
      <w:r w:rsidR="00150EEC" w:rsidRPr="00EF782A">
        <w:rPr>
          <w:rFonts w:ascii="Times New Roman" w:hAnsi="Times New Roman" w:cs="Times New Roman"/>
          <w:sz w:val="24"/>
          <w:szCs w:val="24"/>
        </w:rPr>
        <w:t>, a bachelor of humble origins</w:t>
      </w:r>
      <w:r w:rsidR="00FD1D76">
        <w:rPr>
          <w:rFonts w:ascii="Times New Roman" w:hAnsi="Times New Roman" w:cs="Times New Roman"/>
          <w:sz w:val="24"/>
          <w:szCs w:val="24"/>
        </w:rPr>
        <w:t xml:space="preserve"> who</w:t>
      </w:r>
      <w:r w:rsidR="00150EEC" w:rsidRPr="00EF782A">
        <w:rPr>
          <w:rFonts w:ascii="Times New Roman" w:hAnsi="Times New Roman" w:cs="Times New Roman"/>
          <w:sz w:val="24"/>
          <w:szCs w:val="24"/>
        </w:rPr>
        <w:t xml:space="preserve"> developed the </w:t>
      </w:r>
      <w:r w:rsidR="0078685F" w:rsidRPr="00EF782A">
        <w:rPr>
          <w:rFonts w:ascii="Times New Roman" w:hAnsi="Times New Roman" w:cs="Times New Roman"/>
          <w:sz w:val="24"/>
          <w:szCs w:val="24"/>
        </w:rPr>
        <w:t xml:space="preserve">juridical and theological justifications </w:t>
      </w:r>
      <w:r w:rsidR="00D14714">
        <w:rPr>
          <w:rFonts w:ascii="Times New Roman" w:hAnsi="Times New Roman" w:cs="Times New Roman"/>
          <w:sz w:val="24"/>
          <w:szCs w:val="24"/>
        </w:rPr>
        <w:t>for the uprising</w:t>
      </w:r>
      <w:r w:rsidR="009A3DC0" w:rsidRPr="00EF782A">
        <w:rPr>
          <w:rFonts w:ascii="Times New Roman" w:hAnsi="Times New Roman" w:cs="Times New Roman"/>
          <w:sz w:val="24"/>
          <w:szCs w:val="24"/>
        </w:rPr>
        <w:t>.</w:t>
      </w:r>
      <w:r w:rsidR="009A3DC0" w:rsidRPr="00EF782A">
        <w:rPr>
          <w:rStyle w:val="FootnoteReference"/>
          <w:rFonts w:ascii="Times New Roman" w:hAnsi="Times New Roman" w:cs="Times New Roman"/>
          <w:sz w:val="24"/>
          <w:szCs w:val="24"/>
        </w:rPr>
        <w:footnoteReference w:id="3"/>
      </w:r>
    </w:p>
    <w:p w14:paraId="7C9A6578" w14:textId="77777777" w:rsidR="00195406" w:rsidRDefault="00572668" w:rsidP="00195406">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On </w:t>
      </w:r>
      <w:r w:rsidR="00C91A47" w:rsidRPr="00EF782A">
        <w:rPr>
          <w:rFonts w:ascii="Times New Roman" w:hAnsi="Times New Roman" w:cs="Times New Roman"/>
          <w:sz w:val="24"/>
          <w:szCs w:val="24"/>
        </w:rPr>
        <w:t>June</w:t>
      </w:r>
      <w:r w:rsidR="00B10965" w:rsidRPr="00EF782A">
        <w:rPr>
          <w:rFonts w:ascii="Times New Roman" w:hAnsi="Times New Roman" w:cs="Times New Roman"/>
          <w:sz w:val="24"/>
          <w:szCs w:val="24"/>
        </w:rPr>
        <w:t xml:space="preserve"> 5</w:t>
      </w:r>
      <w:r w:rsidR="00B10965" w:rsidRPr="00EF782A">
        <w:rPr>
          <w:rFonts w:ascii="Times New Roman" w:hAnsi="Times New Roman" w:cs="Times New Roman"/>
          <w:sz w:val="24"/>
          <w:szCs w:val="24"/>
          <w:vertAlign w:val="superscript"/>
        </w:rPr>
        <w:t>th</w:t>
      </w:r>
      <w:r w:rsidR="00B10965" w:rsidRPr="00EF782A">
        <w:rPr>
          <w:rFonts w:ascii="Times New Roman" w:hAnsi="Times New Roman" w:cs="Times New Roman"/>
          <w:sz w:val="24"/>
          <w:szCs w:val="24"/>
        </w:rPr>
        <w:t>,</w:t>
      </w:r>
      <w:r w:rsidR="00C91A47" w:rsidRPr="00EF782A">
        <w:rPr>
          <w:rFonts w:ascii="Times New Roman" w:hAnsi="Times New Roman" w:cs="Times New Roman"/>
          <w:sz w:val="24"/>
          <w:szCs w:val="24"/>
        </w:rPr>
        <w:t xml:space="preserve"> </w:t>
      </w:r>
      <w:r w:rsidR="00BE2514" w:rsidRPr="00EF782A">
        <w:rPr>
          <w:rFonts w:ascii="Times New Roman" w:hAnsi="Times New Roman" w:cs="Times New Roman"/>
          <w:sz w:val="24"/>
          <w:szCs w:val="24"/>
        </w:rPr>
        <w:t>1449</w:t>
      </w:r>
      <w:r w:rsidR="00B10965" w:rsidRPr="00EF782A">
        <w:rPr>
          <w:rFonts w:ascii="Times New Roman" w:hAnsi="Times New Roman" w:cs="Times New Roman"/>
          <w:sz w:val="24"/>
          <w:szCs w:val="24"/>
        </w:rPr>
        <w:t>,</w:t>
      </w:r>
      <w:r w:rsidR="00FA76B7" w:rsidRPr="00EF782A">
        <w:rPr>
          <w:rFonts w:ascii="Times New Roman" w:hAnsi="Times New Roman" w:cs="Times New Roman"/>
          <w:sz w:val="24"/>
          <w:szCs w:val="24"/>
        </w:rPr>
        <w:t xml:space="preserve"> Pero Sarmiento</w:t>
      </w:r>
      <w:r w:rsidR="00911637" w:rsidRPr="00EF782A">
        <w:rPr>
          <w:rFonts w:ascii="Times New Roman" w:hAnsi="Times New Roman" w:cs="Times New Roman"/>
          <w:sz w:val="24"/>
          <w:szCs w:val="24"/>
        </w:rPr>
        <w:t xml:space="preserve"> </w:t>
      </w:r>
      <w:r w:rsidR="004F4779" w:rsidRPr="00EF782A">
        <w:rPr>
          <w:rFonts w:ascii="Times New Roman" w:hAnsi="Times New Roman" w:cs="Times New Roman"/>
          <w:sz w:val="24"/>
          <w:szCs w:val="24"/>
        </w:rPr>
        <w:t>proclaimed before a gathering of townspeople that all “conversos, descendants</w:t>
      </w:r>
      <w:r w:rsidR="00BE2514" w:rsidRPr="00EF782A">
        <w:rPr>
          <w:rFonts w:ascii="Times New Roman" w:hAnsi="Times New Roman" w:cs="Times New Roman"/>
          <w:sz w:val="24"/>
          <w:szCs w:val="24"/>
        </w:rPr>
        <w:t xml:space="preserve"> of the perverse lineage of Jews</w:t>
      </w:r>
      <w:r w:rsidR="00A850A7" w:rsidRPr="00EF782A">
        <w:rPr>
          <w:rFonts w:ascii="Times New Roman" w:hAnsi="Times New Roman" w:cs="Times New Roman"/>
          <w:sz w:val="24"/>
          <w:szCs w:val="24"/>
        </w:rPr>
        <w:t>”</w:t>
      </w:r>
      <w:r w:rsidR="00BE2514" w:rsidRPr="00EF782A">
        <w:rPr>
          <w:rFonts w:ascii="Times New Roman" w:hAnsi="Times New Roman" w:cs="Times New Roman"/>
          <w:sz w:val="24"/>
          <w:szCs w:val="24"/>
        </w:rPr>
        <w:t xml:space="preserve">, on account of the </w:t>
      </w:r>
      <w:r w:rsidR="00795888" w:rsidRPr="00EF782A">
        <w:rPr>
          <w:rFonts w:ascii="Times New Roman" w:hAnsi="Times New Roman" w:cs="Times New Roman"/>
          <w:sz w:val="24"/>
          <w:szCs w:val="24"/>
        </w:rPr>
        <w:t>“heresies and other offenses</w:t>
      </w:r>
      <w:r w:rsidR="00BE2514" w:rsidRPr="00EF782A">
        <w:rPr>
          <w:rFonts w:ascii="Times New Roman" w:hAnsi="Times New Roman" w:cs="Times New Roman"/>
          <w:sz w:val="24"/>
          <w:szCs w:val="24"/>
        </w:rPr>
        <w:t>, insults, seditions, and crimes committed by them”,</w:t>
      </w:r>
      <w:r w:rsidR="00BE2514" w:rsidRPr="00EF782A">
        <w:rPr>
          <w:rStyle w:val="FootnoteReference"/>
          <w:rFonts w:ascii="Times New Roman" w:hAnsi="Times New Roman" w:cs="Times New Roman"/>
          <w:sz w:val="24"/>
          <w:szCs w:val="24"/>
        </w:rPr>
        <w:t xml:space="preserve"> </w:t>
      </w:r>
      <w:r w:rsidR="00BE2514" w:rsidRPr="00EF782A">
        <w:rPr>
          <w:rStyle w:val="FootnoteReference"/>
          <w:rFonts w:ascii="Times New Roman" w:hAnsi="Times New Roman" w:cs="Times New Roman"/>
          <w:sz w:val="24"/>
          <w:szCs w:val="24"/>
        </w:rPr>
        <w:footnoteReference w:id="4"/>
      </w:r>
      <w:r w:rsidR="00BE2514" w:rsidRPr="00EF782A">
        <w:rPr>
          <w:rFonts w:ascii="Times New Roman" w:hAnsi="Times New Roman" w:cs="Times New Roman"/>
          <w:sz w:val="24"/>
          <w:szCs w:val="24"/>
        </w:rPr>
        <w:t xml:space="preserve"> were held to be unworthy </w:t>
      </w:r>
      <w:r w:rsidR="00F910BB" w:rsidRPr="00EF782A">
        <w:rPr>
          <w:rFonts w:ascii="Times New Roman" w:hAnsi="Times New Roman" w:cs="Times New Roman"/>
          <w:sz w:val="24"/>
          <w:szCs w:val="24"/>
        </w:rPr>
        <w:t>and incapable of exercising the</w:t>
      </w:r>
      <w:r w:rsidR="00BE2514" w:rsidRPr="00EF782A">
        <w:rPr>
          <w:rFonts w:ascii="Times New Roman" w:hAnsi="Times New Roman" w:cs="Times New Roman"/>
          <w:sz w:val="24"/>
          <w:szCs w:val="24"/>
        </w:rPr>
        <w:t xml:space="preserve"> offices and the bene</w:t>
      </w:r>
      <w:r w:rsidR="00D14714">
        <w:rPr>
          <w:rFonts w:ascii="Times New Roman" w:hAnsi="Times New Roman" w:cs="Times New Roman"/>
          <w:sz w:val="24"/>
          <w:szCs w:val="24"/>
        </w:rPr>
        <w:t>fits they enjoyed</w:t>
      </w:r>
      <w:r w:rsidR="00BE2514" w:rsidRPr="00EF782A">
        <w:rPr>
          <w:rFonts w:ascii="Times New Roman" w:hAnsi="Times New Roman" w:cs="Times New Roman"/>
          <w:sz w:val="24"/>
          <w:szCs w:val="24"/>
        </w:rPr>
        <w:t xml:space="preserve"> and were thus duly deprived of them. </w:t>
      </w:r>
      <w:r w:rsidR="00EA4F84" w:rsidRPr="00EF782A">
        <w:rPr>
          <w:rFonts w:ascii="Times New Roman" w:hAnsi="Times New Roman" w:cs="Times New Roman"/>
          <w:sz w:val="24"/>
          <w:szCs w:val="24"/>
        </w:rPr>
        <w:t xml:space="preserve">Sarmiento went on to name fourteen </w:t>
      </w:r>
      <w:r w:rsidR="00D87B37" w:rsidRPr="00EF782A">
        <w:rPr>
          <w:rFonts w:ascii="Times New Roman" w:hAnsi="Times New Roman" w:cs="Times New Roman"/>
          <w:sz w:val="24"/>
          <w:szCs w:val="24"/>
        </w:rPr>
        <w:t xml:space="preserve">specific </w:t>
      </w:r>
      <w:r w:rsidR="009A1DD5" w:rsidRPr="00EF782A">
        <w:rPr>
          <w:rFonts w:ascii="Times New Roman" w:hAnsi="Times New Roman" w:cs="Times New Roman"/>
          <w:sz w:val="24"/>
          <w:szCs w:val="24"/>
        </w:rPr>
        <w:t>converso individuals who would be stripped o</w:t>
      </w:r>
      <w:r w:rsidR="00212EC1" w:rsidRPr="00EF782A">
        <w:rPr>
          <w:rFonts w:ascii="Times New Roman" w:hAnsi="Times New Roman" w:cs="Times New Roman"/>
          <w:sz w:val="24"/>
          <w:szCs w:val="24"/>
        </w:rPr>
        <w:t>f the</w:t>
      </w:r>
      <w:r w:rsidR="009C1B11" w:rsidRPr="00EF782A">
        <w:rPr>
          <w:rFonts w:ascii="Times New Roman" w:hAnsi="Times New Roman" w:cs="Times New Roman"/>
          <w:sz w:val="24"/>
          <w:szCs w:val="24"/>
        </w:rPr>
        <w:t>ir offices and replaced by others</w:t>
      </w:r>
      <w:r w:rsidR="00212EC1" w:rsidRPr="00EF782A">
        <w:rPr>
          <w:rFonts w:ascii="Times New Roman" w:hAnsi="Times New Roman" w:cs="Times New Roman"/>
          <w:sz w:val="24"/>
          <w:szCs w:val="24"/>
        </w:rPr>
        <w:t xml:space="preserve"> with clear Old Christian heritage.</w:t>
      </w:r>
      <w:r w:rsidR="00212EC1" w:rsidRPr="00EF782A">
        <w:rPr>
          <w:rStyle w:val="FootnoteReference"/>
          <w:rFonts w:ascii="Times New Roman" w:hAnsi="Times New Roman" w:cs="Times New Roman"/>
          <w:sz w:val="24"/>
          <w:szCs w:val="24"/>
        </w:rPr>
        <w:footnoteReference w:id="5"/>
      </w:r>
      <w:r w:rsidR="00213F37" w:rsidRPr="00EF782A">
        <w:rPr>
          <w:rFonts w:ascii="Times New Roman" w:hAnsi="Times New Roman" w:cs="Times New Roman"/>
          <w:sz w:val="24"/>
          <w:szCs w:val="24"/>
        </w:rPr>
        <w:t xml:space="preserve"> This </w:t>
      </w:r>
      <w:r w:rsidR="00213F37" w:rsidRPr="00EF782A">
        <w:rPr>
          <w:rFonts w:ascii="Times New Roman" w:hAnsi="Times New Roman" w:cs="Times New Roman"/>
          <w:i/>
          <w:sz w:val="24"/>
          <w:szCs w:val="24"/>
        </w:rPr>
        <w:t>Sentencia-Estatuto</w:t>
      </w:r>
      <w:r w:rsidR="00213F37" w:rsidRPr="00EF782A">
        <w:rPr>
          <w:rFonts w:ascii="Times New Roman" w:hAnsi="Times New Roman" w:cs="Times New Roman"/>
          <w:sz w:val="24"/>
          <w:szCs w:val="24"/>
        </w:rPr>
        <w:t xml:space="preserve"> </w:t>
      </w:r>
      <w:r w:rsidR="00D87B37" w:rsidRPr="00EF782A">
        <w:rPr>
          <w:rFonts w:ascii="Times New Roman" w:hAnsi="Times New Roman" w:cs="Times New Roman"/>
          <w:sz w:val="24"/>
          <w:szCs w:val="24"/>
        </w:rPr>
        <w:t>of Pero Sarmiento has increasingly received attention from scholars who identify it as the first of the blood purity statutes that would proliferate throughout the Iberian Pe</w:t>
      </w:r>
      <w:r w:rsidR="00270BC5" w:rsidRPr="00EF782A">
        <w:rPr>
          <w:rFonts w:ascii="Times New Roman" w:hAnsi="Times New Roman" w:cs="Times New Roman"/>
          <w:sz w:val="24"/>
          <w:szCs w:val="24"/>
        </w:rPr>
        <w:t>ninsula and colonial Americas in</w:t>
      </w:r>
      <w:r w:rsidR="00D87B37" w:rsidRPr="00EF782A">
        <w:rPr>
          <w:rFonts w:ascii="Times New Roman" w:hAnsi="Times New Roman" w:cs="Times New Roman"/>
          <w:sz w:val="24"/>
          <w:szCs w:val="24"/>
        </w:rPr>
        <w:t xml:space="preserve"> the </w:t>
      </w:r>
      <w:r w:rsidR="00B10965" w:rsidRPr="00EF782A">
        <w:rPr>
          <w:rFonts w:ascii="Times New Roman" w:hAnsi="Times New Roman" w:cs="Times New Roman"/>
          <w:sz w:val="24"/>
          <w:szCs w:val="24"/>
        </w:rPr>
        <w:t>sixteenth through eighteenth</w:t>
      </w:r>
      <w:r w:rsidR="0063743A" w:rsidRPr="00EF782A">
        <w:rPr>
          <w:rFonts w:ascii="Times New Roman" w:hAnsi="Times New Roman" w:cs="Times New Roman"/>
          <w:sz w:val="24"/>
          <w:szCs w:val="24"/>
        </w:rPr>
        <w:t xml:space="preserve"> </w:t>
      </w:r>
      <w:r w:rsidR="00D87B37" w:rsidRPr="00EF782A">
        <w:rPr>
          <w:rFonts w:ascii="Times New Roman" w:hAnsi="Times New Roman" w:cs="Times New Roman"/>
          <w:sz w:val="24"/>
          <w:szCs w:val="24"/>
        </w:rPr>
        <w:t>centuries.</w:t>
      </w:r>
      <w:r w:rsidR="00270BC5" w:rsidRPr="00EF782A">
        <w:rPr>
          <w:rStyle w:val="FootnoteReference"/>
          <w:rFonts w:ascii="Times New Roman" w:hAnsi="Times New Roman" w:cs="Times New Roman"/>
          <w:sz w:val="24"/>
          <w:szCs w:val="24"/>
        </w:rPr>
        <w:footnoteReference w:id="6"/>
      </w:r>
      <w:r w:rsidR="00D87B37" w:rsidRPr="00EF782A">
        <w:rPr>
          <w:rFonts w:ascii="Times New Roman" w:hAnsi="Times New Roman" w:cs="Times New Roman"/>
          <w:sz w:val="24"/>
          <w:szCs w:val="24"/>
        </w:rPr>
        <w:t xml:space="preserve"> </w:t>
      </w:r>
      <w:r w:rsidR="00625289" w:rsidRPr="00EF782A">
        <w:rPr>
          <w:rFonts w:ascii="Times New Roman" w:hAnsi="Times New Roman" w:cs="Times New Roman"/>
          <w:sz w:val="24"/>
          <w:szCs w:val="24"/>
        </w:rPr>
        <w:t>B</w:t>
      </w:r>
      <w:r w:rsidR="009C1B11" w:rsidRPr="00EF782A">
        <w:rPr>
          <w:rFonts w:ascii="Times New Roman" w:hAnsi="Times New Roman" w:cs="Times New Roman"/>
          <w:sz w:val="24"/>
          <w:szCs w:val="24"/>
        </w:rPr>
        <w:t xml:space="preserve">lood purity statutes played a crucial role in the organization of society by regulating admission into religious orders, military and educational institutions, and movement between territories. </w:t>
      </w:r>
      <w:r w:rsidR="00B61C1E" w:rsidRPr="00EF782A">
        <w:rPr>
          <w:rFonts w:ascii="Times New Roman" w:hAnsi="Times New Roman" w:cs="Times New Roman"/>
          <w:sz w:val="24"/>
          <w:szCs w:val="24"/>
        </w:rPr>
        <w:t>By drawing on a notion of the heritability of immutable characteristics in order to legitimate social hierarchies</w:t>
      </w:r>
      <w:r w:rsidR="005870E0" w:rsidRPr="00EF782A">
        <w:rPr>
          <w:rFonts w:ascii="Times New Roman" w:hAnsi="Times New Roman" w:cs="Times New Roman"/>
          <w:sz w:val="24"/>
          <w:szCs w:val="24"/>
        </w:rPr>
        <w:t xml:space="preserve">, these statutes </w:t>
      </w:r>
      <w:r w:rsidR="00D9402E" w:rsidRPr="00EF782A">
        <w:rPr>
          <w:rFonts w:ascii="Times New Roman" w:hAnsi="Times New Roman" w:cs="Times New Roman"/>
          <w:sz w:val="24"/>
          <w:szCs w:val="24"/>
        </w:rPr>
        <w:t xml:space="preserve">can be taken as antecedents to </w:t>
      </w:r>
      <w:r w:rsidR="0085181C" w:rsidRPr="00EF782A">
        <w:rPr>
          <w:rFonts w:ascii="Times New Roman" w:hAnsi="Times New Roman" w:cs="Times New Roman"/>
          <w:sz w:val="24"/>
          <w:szCs w:val="24"/>
        </w:rPr>
        <w:t xml:space="preserve">the </w:t>
      </w:r>
      <w:r w:rsidR="004B1A0A" w:rsidRPr="00EF782A">
        <w:rPr>
          <w:rFonts w:ascii="Times New Roman" w:hAnsi="Times New Roman" w:cs="Times New Roman"/>
          <w:sz w:val="24"/>
          <w:szCs w:val="24"/>
        </w:rPr>
        <w:t xml:space="preserve">racial policies </w:t>
      </w:r>
      <w:r w:rsidR="00BC7E11" w:rsidRPr="00EF782A">
        <w:rPr>
          <w:rFonts w:ascii="Times New Roman" w:hAnsi="Times New Roman" w:cs="Times New Roman"/>
          <w:sz w:val="24"/>
          <w:szCs w:val="24"/>
        </w:rPr>
        <w:t>that would become ubiquitous as instruments of colonial and national governance</w:t>
      </w:r>
      <w:r w:rsidR="00444CD4" w:rsidRPr="00EF782A">
        <w:rPr>
          <w:rFonts w:ascii="Times New Roman" w:hAnsi="Times New Roman" w:cs="Times New Roman"/>
          <w:sz w:val="24"/>
          <w:szCs w:val="24"/>
        </w:rPr>
        <w:t>.</w:t>
      </w:r>
    </w:p>
    <w:p w14:paraId="4A339A37" w14:textId="77777777" w:rsidR="00195406" w:rsidRDefault="00195406" w:rsidP="00195406">
      <w:pPr>
        <w:spacing w:after="0" w:line="480" w:lineRule="auto"/>
        <w:rPr>
          <w:rFonts w:ascii="Times New Roman" w:hAnsi="Times New Roman" w:cs="Times New Roman"/>
          <w:sz w:val="24"/>
          <w:szCs w:val="24"/>
        </w:rPr>
      </w:pPr>
    </w:p>
    <w:p w14:paraId="38AFFFEE" w14:textId="77777777" w:rsidR="00195406" w:rsidRDefault="00195406" w:rsidP="00195406">
      <w:pPr>
        <w:spacing w:after="0" w:line="480" w:lineRule="auto"/>
        <w:rPr>
          <w:rFonts w:ascii="Times New Roman" w:hAnsi="Times New Roman" w:cs="Times New Roman"/>
          <w:sz w:val="24"/>
          <w:szCs w:val="24"/>
        </w:rPr>
      </w:pPr>
    </w:p>
    <w:p w14:paraId="52FA2008" w14:textId="77777777" w:rsidR="00195406" w:rsidRPr="00195406" w:rsidRDefault="00195406" w:rsidP="00195406">
      <w:pPr>
        <w:spacing w:after="0" w:line="480" w:lineRule="auto"/>
        <w:rPr>
          <w:rFonts w:ascii="Times New Roman" w:hAnsi="Times New Roman" w:cs="Times New Roman"/>
          <w:b/>
          <w:sz w:val="24"/>
          <w:szCs w:val="24"/>
        </w:rPr>
      </w:pPr>
      <w:r>
        <w:rPr>
          <w:rFonts w:ascii="Times New Roman" w:hAnsi="Times New Roman" w:cs="Times New Roman"/>
          <w:b/>
          <w:sz w:val="24"/>
          <w:szCs w:val="24"/>
        </w:rPr>
        <w:t>Why 1449</w:t>
      </w:r>
    </w:p>
    <w:p w14:paraId="60ABB330" w14:textId="77777777" w:rsidR="00964373" w:rsidRPr="00EF782A" w:rsidRDefault="008A53C2" w:rsidP="00195406">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Tracing such a genealogy can and indeed has</w:t>
      </w:r>
      <w:r w:rsidR="009917E5" w:rsidRPr="00EF782A">
        <w:rPr>
          <w:rFonts w:ascii="Times New Roman" w:hAnsi="Times New Roman" w:cs="Times New Roman"/>
          <w:sz w:val="24"/>
          <w:szCs w:val="24"/>
        </w:rPr>
        <w:t xml:space="preserve"> produced invaluable insight</w:t>
      </w:r>
      <w:r w:rsidR="00DE265E" w:rsidRPr="00EF782A">
        <w:rPr>
          <w:rFonts w:ascii="Times New Roman" w:hAnsi="Times New Roman" w:cs="Times New Roman"/>
          <w:sz w:val="24"/>
          <w:szCs w:val="24"/>
        </w:rPr>
        <w:t>s</w:t>
      </w:r>
      <w:r w:rsidR="009917E5" w:rsidRPr="00EF782A">
        <w:rPr>
          <w:rFonts w:ascii="Times New Roman" w:hAnsi="Times New Roman" w:cs="Times New Roman"/>
          <w:sz w:val="24"/>
          <w:szCs w:val="24"/>
        </w:rPr>
        <w:t>.</w:t>
      </w:r>
      <w:r w:rsidR="00E32CED" w:rsidRPr="00EF782A">
        <w:rPr>
          <w:rStyle w:val="FootnoteReference"/>
          <w:rFonts w:ascii="Times New Roman" w:hAnsi="Times New Roman" w:cs="Times New Roman"/>
          <w:sz w:val="24"/>
          <w:szCs w:val="24"/>
        </w:rPr>
        <w:footnoteReference w:id="7"/>
      </w:r>
      <w:r w:rsidR="00DE7F6B" w:rsidRPr="00EF782A">
        <w:rPr>
          <w:rFonts w:ascii="Times New Roman" w:hAnsi="Times New Roman" w:cs="Times New Roman"/>
          <w:sz w:val="24"/>
          <w:szCs w:val="24"/>
        </w:rPr>
        <w:t xml:space="preserve"> </w:t>
      </w:r>
      <w:r w:rsidR="00A85781" w:rsidRPr="00EF782A">
        <w:rPr>
          <w:rFonts w:ascii="Times New Roman" w:hAnsi="Times New Roman" w:cs="Times New Roman"/>
          <w:sz w:val="24"/>
          <w:szCs w:val="24"/>
        </w:rPr>
        <w:t>My claim is not to have discovered</w:t>
      </w:r>
      <w:r w:rsidR="00ED0FC1" w:rsidRPr="00EF782A">
        <w:rPr>
          <w:rFonts w:ascii="Times New Roman" w:hAnsi="Times New Roman" w:cs="Times New Roman"/>
          <w:sz w:val="24"/>
          <w:szCs w:val="24"/>
        </w:rPr>
        <w:t xml:space="preserve"> the </w:t>
      </w:r>
      <w:r w:rsidR="00ED0FC1" w:rsidRPr="00EF782A">
        <w:rPr>
          <w:rFonts w:ascii="Times New Roman" w:hAnsi="Times New Roman" w:cs="Times New Roman"/>
          <w:i/>
          <w:sz w:val="24"/>
          <w:szCs w:val="24"/>
        </w:rPr>
        <w:t>Sentencia-Estatuto</w:t>
      </w:r>
      <w:r w:rsidR="00ED0FC1" w:rsidRPr="00EF782A">
        <w:rPr>
          <w:rFonts w:ascii="Times New Roman" w:hAnsi="Times New Roman" w:cs="Times New Roman"/>
          <w:sz w:val="24"/>
          <w:szCs w:val="24"/>
        </w:rPr>
        <w:t xml:space="preserve"> as the</w:t>
      </w:r>
      <w:r w:rsidR="00A85781" w:rsidRPr="00EF782A">
        <w:rPr>
          <w:rFonts w:ascii="Times New Roman" w:hAnsi="Times New Roman" w:cs="Times New Roman"/>
          <w:sz w:val="24"/>
          <w:szCs w:val="24"/>
        </w:rPr>
        <w:t xml:space="preserve"> precise origina</w:t>
      </w:r>
      <w:r w:rsidR="00245DCD" w:rsidRPr="00EF782A">
        <w:rPr>
          <w:rFonts w:ascii="Times New Roman" w:hAnsi="Times New Roman" w:cs="Times New Roman"/>
          <w:sz w:val="24"/>
          <w:szCs w:val="24"/>
        </w:rPr>
        <w:t>t</w:t>
      </w:r>
      <w:r w:rsidR="0070343F" w:rsidRPr="00EF782A">
        <w:rPr>
          <w:rFonts w:ascii="Times New Roman" w:hAnsi="Times New Roman" w:cs="Times New Roman"/>
          <w:sz w:val="24"/>
          <w:szCs w:val="24"/>
        </w:rPr>
        <w:t>or</w:t>
      </w:r>
      <w:r w:rsidR="00245DCD" w:rsidRPr="00EF782A">
        <w:rPr>
          <w:rFonts w:ascii="Times New Roman" w:hAnsi="Times New Roman" w:cs="Times New Roman"/>
          <w:sz w:val="24"/>
          <w:szCs w:val="24"/>
        </w:rPr>
        <w:t xml:space="preserve"> of </w:t>
      </w:r>
      <w:r w:rsidR="0070343F" w:rsidRPr="00EF782A">
        <w:rPr>
          <w:rFonts w:ascii="Times New Roman" w:hAnsi="Times New Roman" w:cs="Times New Roman"/>
          <w:sz w:val="24"/>
          <w:szCs w:val="24"/>
        </w:rPr>
        <w:t xml:space="preserve">all of the practices and discursive elements that make up </w:t>
      </w:r>
      <w:r w:rsidR="00245DCD" w:rsidRPr="00EF782A">
        <w:rPr>
          <w:rFonts w:ascii="Times New Roman" w:hAnsi="Times New Roman" w:cs="Times New Roman"/>
          <w:sz w:val="24"/>
          <w:szCs w:val="24"/>
        </w:rPr>
        <w:t>the concept of race.</w:t>
      </w:r>
      <w:r w:rsidR="00245DCD" w:rsidRPr="00EF782A">
        <w:rPr>
          <w:rStyle w:val="FootnoteReference"/>
          <w:rFonts w:ascii="Times New Roman" w:hAnsi="Times New Roman" w:cs="Times New Roman"/>
          <w:sz w:val="24"/>
          <w:szCs w:val="24"/>
        </w:rPr>
        <w:footnoteReference w:id="8"/>
      </w:r>
      <w:r w:rsidR="00896067" w:rsidRPr="00EF782A">
        <w:rPr>
          <w:rFonts w:ascii="Times New Roman" w:hAnsi="Times New Roman" w:cs="Times New Roman"/>
          <w:sz w:val="24"/>
          <w:szCs w:val="24"/>
        </w:rPr>
        <w:t xml:space="preserve"> To frame this as a</w:t>
      </w:r>
      <w:r w:rsidR="00245DCD" w:rsidRPr="00EF782A">
        <w:rPr>
          <w:rFonts w:ascii="Times New Roman" w:hAnsi="Times New Roman" w:cs="Times New Roman"/>
          <w:sz w:val="24"/>
          <w:szCs w:val="24"/>
        </w:rPr>
        <w:t xml:space="preserve"> search for</w:t>
      </w:r>
      <w:r w:rsidR="00C03781" w:rsidRPr="00EF782A">
        <w:rPr>
          <w:rFonts w:ascii="Times New Roman" w:hAnsi="Times New Roman" w:cs="Times New Roman"/>
          <w:sz w:val="24"/>
          <w:szCs w:val="24"/>
        </w:rPr>
        <w:t xml:space="preserve"> </w:t>
      </w:r>
      <w:r w:rsidR="00896067" w:rsidRPr="00EF782A">
        <w:rPr>
          <w:rFonts w:ascii="Times New Roman" w:hAnsi="Times New Roman" w:cs="Times New Roman"/>
          <w:sz w:val="24"/>
          <w:szCs w:val="24"/>
        </w:rPr>
        <w:t xml:space="preserve">an ultimate beginning would </w:t>
      </w:r>
      <w:r w:rsidR="00314376" w:rsidRPr="00EF782A">
        <w:rPr>
          <w:rFonts w:ascii="Times New Roman" w:hAnsi="Times New Roman" w:cs="Times New Roman"/>
          <w:sz w:val="24"/>
          <w:szCs w:val="24"/>
        </w:rPr>
        <w:t>not only be</w:t>
      </w:r>
      <w:r w:rsidR="005D7195" w:rsidRPr="00EF782A">
        <w:rPr>
          <w:rFonts w:ascii="Times New Roman" w:hAnsi="Times New Roman" w:cs="Times New Roman"/>
          <w:sz w:val="24"/>
          <w:szCs w:val="24"/>
        </w:rPr>
        <w:t xml:space="preserve"> meth</w:t>
      </w:r>
      <w:r w:rsidR="00314376" w:rsidRPr="00EF782A">
        <w:rPr>
          <w:rFonts w:ascii="Times New Roman" w:hAnsi="Times New Roman" w:cs="Times New Roman"/>
          <w:sz w:val="24"/>
          <w:szCs w:val="24"/>
        </w:rPr>
        <w:t>odologically suspect</w:t>
      </w:r>
      <w:r w:rsidR="00EC7654" w:rsidRPr="00EF782A">
        <w:rPr>
          <w:rFonts w:ascii="Times New Roman" w:hAnsi="Times New Roman" w:cs="Times New Roman"/>
          <w:sz w:val="24"/>
          <w:szCs w:val="24"/>
        </w:rPr>
        <w:t xml:space="preserve">, but </w:t>
      </w:r>
      <w:r w:rsidR="00314376" w:rsidRPr="00EF782A">
        <w:rPr>
          <w:rFonts w:ascii="Times New Roman" w:hAnsi="Times New Roman" w:cs="Times New Roman"/>
          <w:sz w:val="24"/>
          <w:szCs w:val="24"/>
        </w:rPr>
        <w:t xml:space="preserve">it </w:t>
      </w:r>
      <w:r w:rsidR="005D7195" w:rsidRPr="00EF782A">
        <w:rPr>
          <w:rFonts w:ascii="Times New Roman" w:hAnsi="Times New Roman" w:cs="Times New Roman"/>
          <w:sz w:val="24"/>
          <w:szCs w:val="24"/>
        </w:rPr>
        <w:t xml:space="preserve">would also result in an account that obscures as much as it reveals. </w:t>
      </w:r>
      <w:r w:rsidR="006D70F1" w:rsidRPr="00EF782A">
        <w:rPr>
          <w:rFonts w:ascii="Times New Roman" w:hAnsi="Times New Roman" w:cs="Times New Roman"/>
          <w:sz w:val="24"/>
          <w:szCs w:val="24"/>
        </w:rPr>
        <w:t xml:space="preserve">The cacophonous debates </w:t>
      </w:r>
      <w:r w:rsidR="00D900D6" w:rsidRPr="00EF782A">
        <w:rPr>
          <w:rFonts w:ascii="Times New Roman" w:hAnsi="Times New Roman" w:cs="Times New Roman"/>
          <w:sz w:val="24"/>
          <w:szCs w:val="24"/>
        </w:rPr>
        <w:t xml:space="preserve">over the proper historicization of race </w:t>
      </w:r>
      <w:r w:rsidR="00704B23" w:rsidRPr="00EF782A">
        <w:rPr>
          <w:rFonts w:ascii="Times New Roman" w:hAnsi="Times New Roman" w:cs="Times New Roman"/>
          <w:sz w:val="24"/>
          <w:szCs w:val="24"/>
        </w:rPr>
        <w:t xml:space="preserve">should not obscure the fact that </w:t>
      </w:r>
      <w:r w:rsidR="00AF6CC2" w:rsidRPr="00EF782A">
        <w:rPr>
          <w:rFonts w:ascii="Times New Roman" w:hAnsi="Times New Roman" w:cs="Times New Roman"/>
          <w:sz w:val="24"/>
          <w:szCs w:val="24"/>
        </w:rPr>
        <w:t>when and where one situates</w:t>
      </w:r>
      <w:r w:rsidR="00704B23" w:rsidRPr="00EF782A">
        <w:rPr>
          <w:rFonts w:ascii="Times New Roman" w:hAnsi="Times New Roman" w:cs="Times New Roman"/>
          <w:sz w:val="24"/>
          <w:szCs w:val="24"/>
        </w:rPr>
        <w:t xml:space="preserve"> </w:t>
      </w:r>
      <w:r w:rsidR="00AF6CC2" w:rsidRPr="00EF782A">
        <w:rPr>
          <w:rFonts w:ascii="Times New Roman" w:hAnsi="Times New Roman" w:cs="Times New Roman"/>
          <w:sz w:val="24"/>
          <w:szCs w:val="24"/>
        </w:rPr>
        <w:t>the origins of race carries significant implications for how we understand the concept itself.</w:t>
      </w:r>
      <w:r w:rsidR="002D1B67" w:rsidRPr="00EF782A">
        <w:rPr>
          <w:rStyle w:val="FootnoteReference"/>
          <w:rFonts w:ascii="Times New Roman" w:hAnsi="Times New Roman" w:cs="Times New Roman"/>
          <w:sz w:val="24"/>
          <w:szCs w:val="24"/>
        </w:rPr>
        <w:footnoteReference w:id="9"/>
      </w:r>
      <w:r w:rsidR="00AF6CC2" w:rsidRPr="00EF782A">
        <w:rPr>
          <w:rFonts w:ascii="Times New Roman" w:hAnsi="Times New Roman" w:cs="Times New Roman"/>
          <w:sz w:val="24"/>
          <w:szCs w:val="24"/>
        </w:rPr>
        <w:t xml:space="preserve"> In either relating race to prior modes of thinking about religious difference or by insisting on grounding it in scientific</w:t>
      </w:r>
      <w:r w:rsidR="002D1B67" w:rsidRPr="00EF782A">
        <w:rPr>
          <w:rFonts w:ascii="Times New Roman" w:hAnsi="Times New Roman" w:cs="Times New Roman"/>
          <w:sz w:val="24"/>
          <w:szCs w:val="24"/>
        </w:rPr>
        <w:t xml:space="preserve"> discourses emergent in the nineteenth century</w:t>
      </w:r>
      <w:r w:rsidR="00AF6CC2" w:rsidRPr="00EF782A">
        <w:rPr>
          <w:rFonts w:ascii="Times New Roman" w:hAnsi="Times New Roman" w:cs="Times New Roman"/>
          <w:sz w:val="24"/>
          <w:szCs w:val="24"/>
        </w:rPr>
        <w:t xml:space="preserve"> distinct elements of the concept are drawn out and made central to it.</w:t>
      </w:r>
      <w:r w:rsidR="00804CA2" w:rsidRPr="00EF782A">
        <w:rPr>
          <w:rFonts w:ascii="Times New Roman" w:hAnsi="Times New Roman" w:cs="Times New Roman"/>
          <w:sz w:val="24"/>
          <w:szCs w:val="24"/>
        </w:rPr>
        <w:t xml:space="preserve"> </w:t>
      </w:r>
      <w:r w:rsidR="002511E1" w:rsidRPr="00EF782A">
        <w:rPr>
          <w:rFonts w:ascii="Times New Roman" w:hAnsi="Times New Roman" w:cs="Times New Roman"/>
          <w:sz w:val="24"/>
          <w:szCs w:val="24"/>
        </w:rPr>
        <w:t>U</w:t>
      </w:r>
      <w:r w:rsidR="00804CA2" w:rsidRPr="00EF782A">
        <w:rPr>
          <w:rFonts w:ascii="Times New Roman" w:hAnsi="Times New Roman" w:cs="Times New Roman"/>
          <w:sz w:val="24"/>
          <w:szCs w:val="24"/>
        </w:rPr>
        <w:t xml:space="preserve">nder the pretense of asking </w:t>
      </w:r>
      <w:r w:rsidR="0044689A" w:rsidRPr="00EF782A">
        <w:rPr>
          <w:rFonts w:ascii="Times New Roman" w:hAnsi="Times New Roman" w:cs="Times New Roman"/>
          <w:sz w:val="24"/>
          <w:szCs w:val="24"/>
        </w:rPr>
        <w:t xml:space="preserve">a historical question of </w:t>
      </w:r>
      <w:r w:rsidR="00804CA2" w:rsidRPr="00EF782A">
        <w:rPr>
          <w:rFonts w:ascii="Times New Roman" w:hAnsi="Times New Roman" w:cs="Times New Roman"/>
          <w:sz w:val="24"/>
          <w:szCs w:val="24"/>
        </w:rPr>
        <w:t>when and where we first see the elements of a racial log</w:t>
      </w:r>
      <w:r w:rsidR="0057574A" w:rsidRPr="00EF782A">
        <w:rPr>
          <w:rFonts w:ascii="Times New Roman" w:hAnsi="Times New Roman" w:cs="Times New Roman"/>
          <w:sz w:val="24"/>
          <w:szCs w:val="24"/>
        </w:rPr>
        <w:t>ic appear, at stake is actually a claim about</w:t>
      </w:r>
      <w:r w:rsidR="00804CA2" w:rsidRPr="00EF782A">
        <w:rPr>
          <w:rFonts w:ascii="Times New Roman" w:hAnsi="Times New Roman" w:cs="Times New Roman"/>
          <w:sz w:val="24"/>
          <w:szCs w:val="24"/>
        </w:rPr>
        <w:t xml:space="preserve"> </w:t>
      </w:r>
      <w:r w:rsidR="0057574A" w:rsidRPr="00EF782A">
        <w:rPr>
          <w:rFonts w:ascii="Times New Roman" w:hAnsi="Times New Roman" w:cs="Times New Roman"/>
          <w:sz w:val="24"/>
          <w:szCs w:val="24"/>
        </w:rPr>
        <w:t>the definition</w:t>
      </w:r>
      <w:r w:rsidR="00804CA2" w:rsidRPr="00EF782A">
        <w:rPr>
          <w:rFonts w:ascii="Times New Roman" w:hAnsi="Times New Roman" w:cs="Times New Roman"/>
          <w:sz w:val="24"/>
          <w:szCs w:val="24"/>
        </w:rPr>
        <w:t xml:space="preserve"> race and the work that it does</w:t>
      </w:r>
      <w:r w:rsidR="000F3A4C" w:rsidRPr="00EF782A">
        <w:rPr>
          <w:rFonts w:ascii="Times New Roman" w:hAnsi="Times New Roman" w:cs="Times New Roman"/>
          <w:sz w:val="24"/>
          <w:szCs w:val="24"/>
        </w:rPr>
        <w:t xml:space="preserve"> in the world</w:t>
      </w:r>
      <w:r w:rsidR="00804CA2" w:rsidRPr="00EF782A">
        <w:rPr>
          <w:rFonts w:ascii="Times New Roman" w:hAnsi="Times New Roman" w:cs="Times New Roman"/>
          <w:sz w:val="24"/>
          <w:szCs w:val="24"/>
        </w:rPr>
        <w:t>.</w:t>
      </w:r>
      <w:r w:rsidR="00804CA2" w:rsidRPr="00EF782A">
        <w:rPr>
          <w:rFonts w:ascii="Times New Roman" w:hAnsi="Times New Roman" w:cs="Times New Roman"/>
          <w:sz w:val="24"/>
          <w:szCs w:val="24"/>
          <w:vertAlign w:val="superscript"/>
        </w:rPr>
        <w:footnoteReference w:id="10"/>
      </w:r>
      <w:r w:rsidR="002F3DA7" w:rsidRPr="00EF782A">
        <w:rPr>
          <w:rFonts w:ascii="Times New Roman" w:hAnsi="Times New Roman" w:cs="Times New Roman"/>
          <w:sz w:val="24"/>
          <w:szCs w:val="24"/>
        </w:rPr>
        <w:t xml:space="preserve"> </w:t>
      </w:r>
      <w:r w:rsidR="001D3912" w:rsidRPr="00EF782A">
        <w:rPr>
          <w:rFonts w:ascii="Times New Roman" w:hAnsi="Times New Roman" w:cs="Times New Roman"/>
          <w:sz w:val="24"/>
          <w:szCs w:val="24"/>
        </w:rPr>
        <w:t>Accepting that</w:t>
      </w:r>
      <w:r w:rsidR="002F3DA7" w:rsidRPr="00EF782A">
        <w:rPr>
          <w:rFonts w:ascii="Times New Roman" w:hAnsi="Times New Roman" w:cs="Times New Roman"/>
          <w:sz w:val="24"/>
          <w:szCs w:val="24"/>
        </w:rPr>
        <w:t xml:space="preserve"> where one decides to start will significantly inform the narrative one composes</w:t>
      </w:r>
      <w:r w:rsidR="009D7279" w:rsidRPr="00EF782A">
        <w:rPr>
          <w:rFonts w:ascii="Times New Roman" w:hAnsi="Times New Roman" w:cs="Times New Roman"/>
          <w:sz w:val="24"/>
          <w:szCs w:val="24"/>
        </w:rPr>
        <w:t>, it is also true that all narratives must start somewhere</w:t>
      </w:r>
      <w:r w:rsidR="002F3DA7" w:rsidRPr="00EF782A">
        <w:rPr>
          <w:rFonts w:ascii="Times New Roman" w:hAnsi="Times New Roman" w:cs="Times New Roman"/>
          <w:sz w:val="24"/>
          <w:szCs w:val="24"/>
        </w:rPr>
        <w:t>. Beginning with 1449 brings into focus a particular history of race, though it should not make us blind to all others.</w:t>
      </w:r>
      <w:r w:rsidR="001C6E0C" w:rsidRPr="00EF782A">
        <w:rPr>
          <w:rFonts w:ascii="Times New Roman" w:hAnsi="Times New Roman" w:cs="Times New Roman"/>
          <w:sz w:val="24"/>
          <w:szCs w:val="24"/>
        </w:rPr>
        <w:t xml:space="preserve"> </w:t>
      </w:r>
      <w:r w:rsidR="00410432" w:rsidRPr="00EF782A">
        <w:rPr>
          <w:rFonts w:ascii="Times New Roman" w:hAnsi="Times New Roman" w:cs="Times New Roman"/>
          <w:sz w:val="24"/>
          <w:szCs w:val="24"/>
        </w:rPr>
        <w:t xml:space="preserve">In order to </w:t>
      </w:r>
      <w:r w:rsidR="004D7751" w:rsidRPr="00EF782A">
        <w:rPr>
          <w:rFonts w:ascii="Times New Roman" w:hAnsi="Times New Roman" w:cs="Times New Roman"/>
          <w:sz w:val="24"/>
          <w:szCs w:val="24"/>
        </w:rPr>
        <w:t>start answering the</w:t>
      </w:r>
      <w:r w:rsidR="00E0109D" w:rsidRPr="00EF782A">
        <w:rPr>
          <w:rFonts w:ascii="Times New Roman" w:hAnsi="Times New Roman" w:cs="Times New Roman"/>
          <w:sz w:val="24"/>
          <w:szCs w:val="24"/>
        </w:rPr>
        <w:t xml:space="preserve"> question of what </w:t>
      </w:r>
      <w:r w:rsidR="004D7751" w:rsidRPr="00EF782A">
        <w:rPr>
          <w:rFonts w:ascii="Times New Roman" w:hAnsi="Times New Roman" w:cs="Times New Roman"/>
          <w:sz w:val="24"/>
          <w:szCs w:val="24"/>
        </w:rPr>
        <w:t xml:space="preserve">1449 </w:t>
      </w:r>
      <w:r w:rsidR="00B675C0" w:rsidRPr="00EF782A">
        <w:rPr>
          <w:rFonts w:ascii="Times New Roman" w:hAnsi="Times New Roman" w:cs="Times New Roman"/>
          <w:sz w:val="24"/>
          <w:szCs w:val="24"/>
        </w:rPr>
        <w:t>could mean for our</w:t>
      </w:r>
      <w:r w:rsidR="00F275C9" w:rsidRPr="00EF782A">
        <w:rPr>
          <w:rFonts w:ascii="Times New Roman" w:hAnsi="Times New Roman" w:cs="Times New Roman"/>
          <w:sz w:val="24"/>
          <w:szCs w:val="24"/>
        </w:rPr>
        <w:t xml:space="preserve"> understanding </w:t>
      </w:r>
      <w:r w:rsidR="00B675C0" w:rsidRPr="00EF782A">
        <w:rPr>
          <w:rFonts w:ascii="Times New Roman" w:hAnsi="Times New Roman" w:cs="Times New Roman"/>
          <w:sz w:val="24"/>
          <w:szCs w:val="24"/>
        </w:rPr>
        <w:t xml:space="preserve">of race, we must first attend to the </w:t>
      </w:r>
      <w:r w:rsidR="00B11E76" w:rsidRPr="00EF782A">
        <w:rPr>
          <w:rFonts w:ascii="Times New Roman" w:hAnsi="Times New Roman" w:cs="Times New Roman"/>
          <w:sz w:val="24"/>
          <w:szCs w:val="24"/>
        </w:rPr>
        <w:t>si</w:t>
      </w:r>
      <w:r w:rsidR="00EE2027" w:rsidRPr="00EF782A">
        <w:rPr>
          <w:rFonts w:ascii="Times New Roman" w:hAnsi="Times New Roman" w:cs="Times New Roman"/>
          <w:sz w:val="24"/>
          <w:szCs w:val="24"/>
        </w:rPr>
        <w:t>gnificance</w:t>
      </w:r>
      <w:r w:rsidR="00B11E76" w:rsidRPr="00EF782A">
        <w:rPr>
          <w:rFonts w:ascii="Times New Roman" w:hAnsi="Times New Roman" w:cs="Times New Roman"/>
          <w:sz w:val="24"/>
          <w:szCs w:val="24"/>
        </w:rPr>
        <w:t xml:space="preserve"> it had </w:t>
      </w:r>
      <w:r w:rsidR="009C30EF" w:rsidRPr="00EF782A">
        <w:rPr>
          <w:rFonts w:ascii="Times New Roman" w:hAnsi="Times New Roman" w:cs="Times New Roman"/>
          <w:sz w:val="24"/>
          <w:szCs w:val="24"/>
        </w:rPr>
        <w:t>as it occurred.</w:t>
      </w:r>
    </w:p>
    <w:p w14:paraId="360621F0" w14:textId="77777777" w:rsidR="001260E3" w:rsidRPr="00EF782A" w:rsidRDefault="005F3762"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lastRenderedPageBreak/>
        <w:t xml:space="preserve">The significance of any moment is subject to continual revision </w:t>
      </w:r>
      <w:r w:rsidR="00A27705" w:rsidRPr="00EF782A">
        <w:rPr>
          <w:rFonts w:ascii="Times New Roman" w:hAnsi="Times New Roman" w:cs="Times New Roman"/>
          <w:sz w:val="24"/>
          <w:szCs w:val="24"/>
        </w:rPr>
        <w:t>as</w:t>
      </w:r>
      <w:r w:rsidRPr="00EF782A">
        <w:rPr>
          <w:rFonts w:ascii="Times New Roman" w:hAnsi="Times New Roman" w:cs="Times New Roman"/>
          <w:sz w:val="24"/>
          <w:szCs w:val="24"/>
        </w:rPr>
        <w:t xml:space="preserve"> the procession of moments that succeed it </w:t>
      </w:r>
      <w:r w:rsidR="00B12884" w:rsidRPr="00EF782A">
        <w:rPr>
          <w:rFonts w:ascii="Times New Roman" w:hAnsi="Times New Roman" w:cs="Times New Roman"/>
          <w:sz w:val="24"/>
          <w:szCs w:val="24"/>
        </w:rPr>
        <w:t xml:space="preserve">threaten to derail any telos </w:t>
      </w:r>
      <w:r w:rsidR="00E03EC6" w:rsidRPr="00EF782A">
        <w:rPr>
          <w:rFonts w:ascii="Times New Roman" w:hAnsi="Times New Roman" w:cs="Times New Roman"/>
          <w:sz w:val="24"/>
          <w:szCs w:val="24"/>
        </w:rPr>
        <w:t>one attempt</w:t>
      </w:r>
      <w:r w:rsidR="00D2690B" w:rsidRPr="00EF782A">
        <w:rPr>
          <w:rFonts w:ascii="Times New Roman" w:hAnsi="Times New Roman" w:cs="Times New Roman"/>
          <w:sz w:val="24"/>
          <w:szCs w:val="24"/>
        </w:rPr>
        <w:t>s</w:t>
      </w:r>
      <w:r w:rsidR="00E03EC6" w:rsidRPr="00EF782A">
        <w:rPr>
          <w:rFonts w:ascii="Times New Roman" w:hAnsi="Times New Roman" w:cs="Times New Roman"/>
          <w:sz w:val="24"/>
          <w:szCs w:val="24"/>
        </w:rPr>
        <w:t xml:space="preserve"> to ground in it. </w:t>
      </w:r>
      <w:r w:rsidR="00520D46" w:rsidRPr="00EF782A">
        <w:rPr>
          <w:rFonts w:ascii="Times New Roman" w:hAnsi="Times New Roman" w:cs="Times New Roman"/>
          <w:sz w:val="24"/>
          <w:szCs w:val="24"/>
        </w:rPr>
        <w:t xml:space="preserve">It can take </w:t>
      </w:r>
      <w:r w:rsidR="00027790" w:rsidRPr="00EF782A">
        <w:rPr>
          <w:rFonts w:ascii="Times New Roman" w:hAnsi="Times New Roman" w:cs="Times New Roman"/>
          <w:sz w:val="24"/>
          <w:szCs w:val="24"/>
        </w:rPr>
        <w:t>centuries before some events which we take to b</w:t>
      </w:r>
      <w:r w:rsidR="000740A8" w:rsidRPr="00EF782A">
        <w:rPr>
          <w:rFonts w:ascii="Times New Roman" w:hAnsi="Times New Roman" w:cs="Times New Roman"/>
          <w:sz w:val="24"/>
          <w:szCs w:val="24"/>
        </w:rPr>
        <w:t xml:space="preserve">e pivotal moments in history are recognized as such, while other events considered to be monumental in their time </w:t>
      </w:r>
      <w:r w:rsidR="004D44FB" w:rsidRPr="00EF782A">
        <w:rPr>
          <w:rFonts w:ascii="Times New Roman" w:hAnsi="Times New Roman" w:cs="Times New Roman"/>
          <w:sz w:val="24"/>
          <w:szCs w:val="24"/>
        </w:rPr>
        <w:t xml:space="preserve">are now </w:t>
      </w:r>
      <w:r w:rsidR="008D07CD">
        <w:rPr>
          <w:rFonts w:ascii="Times New Roman" w:hAnsi="Times New Roman" w:cs="Times New Roman"/>
          <w:sz w:val="24"/>
          <w:szCs w:val="24"/>
        </w:rPr>
        <w:t>seen as</w:t>
      </w:r>
      <w:r w:rsidR="00BD36B7" w:rsidRPr="00EF782A">
        <w:rPr>
          <w:rFonts w:ascii="Times New Roman" w:hAnsi="Times New Roman" w:cs="Times New Roman"/>
          <w:sz w:val="24"/>
          <w:szCs w:val="24"/>
        </w:rPr>
        <w:t xml:space="preserve"> mere det</w:t>
      </w:r>
      <w:r w:rsidR="00841E44" w:rsidRPr="00EF782A">
        <w:rPr>
          <w:rFonts w:ascii="Times New Roman" w:hAnsi="Times New Roman" w:cs="Times New Roman"/>
          <w:sz w:val="24"/>
          <w:szCs w:val="24"/>
        </w:rPr>
        <w:t>ails of an antiquarian history.</w:t>
      </w:r>
      <w:r w:rsidR="00841E44" w:rsidRPr="00EF782A">
        <w:rPr>
          <w:rStyle w:val="FootnoteReference"/>
          <w:rFonts w:ascii="Times New Roman" w:hAnsi="Times New Roman" w:cs="Times New Roman"/>
          <w:sz w:val="24"/>
          <w:szCs w:val="24"/>
        </w:rPr>
        <w:footnoteReference w:id="11"/>
      </w:r>
      <w:r w:rsidR="00F204A9" w:rsidRPr="00EF782A">
        <w:rPr>
          <w:rFonts w:ascii="Times New Roman" w:hAnsi="Times New Roman" w:cs="Times New Roman"/>
          <w:sz w:val="24"/>
          <w:szCs w:val="24"/>
        </w:rPr>
        <w:t xml:space="preserve"> </w:t>
      </w:r>
      <w:r w:rsidR="00E22FDD" w:rsidRPr="00EF782A">
        <w:rPr>
          <w:rFonts w:ascii="Times New Roman" w:hAnsi="Times New Roman" w:cs="Times New Roman"/>
          <w:sz w:val="24"/>
          <w:szCs w:val="24"/>
        </w:rPr>
        <w:t xml:space="preserve">World-historic transformations can be traced back to the accretion of miniscule changes </w:t>
      </w:r>
      <w:r w:rsidR="006A1E76" w:rsidRPr="00EF782A">
        <w:rPr>
          <w:rFonts w:ascii="Times New Roman" w:hAnsi="Times New Roman" w:cs="Times New Roman"/>
          <w:sz w:val="24"/>
          <w:szCs w:val="24"/>
        </w:rPr>
        <w:t>that</w:t>
      </w:r>
      <w:r w:rsidR="00E22FDD" w:rsidRPr="00EF782A">
        <w:rPr>
          <w:rFonts w:ascii="Times New Roman" w:hAnsi="Times New Roman" w:cs="Times New Roman"/>
          <w:sz w:val="24"/>
          <w:szCs w:val="24"/>
        </w:rPr>
        <w:t xml:space="preserve"> </w:t>
      </w:r>
      <w:r w:rsidR="00D878EE" w:rsidRPr="00EF782A">
        <w:rPr>
          <w:rFonts w:ascii="Times New Roman" w:hAnsi="Times New Roman" w:cs="Times New Roman"/>
          <w:sz w:val="24"/>
          <w:szCs w:val="24"/>
        </w:rPr>
        <w:t xml:space="preserve">went </w:t>
      </w:r>
      <w:r w:rsidR="00A57067" w:rsidRPr="00EF782A">
        <w:rPr>
          <w:rFonts w:ascii="Times New Roman" w:hAnsi="Times New Roman" w:cs="Times New Roman"/>
          <w:sz w:val="24"/>
          <w:szCs w:val="24"/>
        </w:rPr>
        <w:t xml:space="preserve">by </w:t>
      </w:r>
      <w:r w:rsidR="00D878EE" w:rsidRPr="00EF782A">
        <w:rPr>
          <w:rFonts w:ascii="Times New Roman" w:hAnsi="Times New Roman" w:cs="Times New Roman"/>
          <w:sz w:val="24"/>
          <w:szCs w:val="24"/>
        </w:rPr>
        <w:t xml:space="preserve">unnoticed in their time. </w:t>
      </w:r>
      <w:r w:rsidR="00A57067" w:rsidRPr="00EF782A">
        <w:rPr>
          <w:rFonts w:ascii="Times New Roman" w:hAnsi="Times New Roman" w:cs="Times New Roman"/>
          <w:sz w:val="24"/>
          <w:szCs w:val="24"/>
        </w:rPr>
        <w:t xml:space="preserve">This was not the case with the </w:t>
      </w:r>
      <w:r w:rsidR="00A57067" w:rsidRPr="00EF782A">
        <w:rPr>
          <w:rFonts w:ascii="Times New Roman" w:hAnsi="Times New Roman" w:cs="Times New Roman"/>
          <w:i/>
          <w:sz w:val="24"/>
          <w:szCs w:val="24"/>
        </w:rPr>
        <w:t>Sentencia-Estatuto</w:t>
      </w:r>
      <w:r w:rsidR="00A57067" w:rsidRPr="00EF782A">
        <w:rPr>
          <w:rFonts w:ascii="Times New Roman" w:hAnsi="Times New Roman" w:cs="Times New Roman"/>
          <w:sz w:val="24"/>
          <w:szCs w:val="24"/>
        </w:rPr>
        <w:t xml:space="preserve">. </w:t>
      </w:r>
      <w:r w:rsidR="00C04B1D" w:rsidRPr="00EF782A">
        <w:rPr>
          <w:rFonts w:ascii="Times New Roman" w:hAnsi="Times New Roman" w:cs="Times New Roman"/>
          <w:sz w:val="24"/>
          <w:szCs w:val="24"/>
        </w:rPr>
        <w:t xml:space="preserve">Upon its </w:t>
      </w:r>
      <w:r w:rsidR="006A1E76" w:rsidRPr="00EF782A">
        <w:rPr>
          <w:rFonts w:ascii="Times New Roman" w:hAnsi="Times New Roman" w:cs="Times New Roman"/>
          <w:sz w:val="24"/>
          <w:szCs w:val="24"/>
        </w:rPr>
        <w:t>enactment,</w:t>
      </w:r>
      <w:r w:rsidR="00502AA7" w:rsidRPr="00EF782A">
        <w:rPr>
          <w:rFonts w:ascii="Times New Roman" w:hAnsi="Times New Roman" w:cs="Times New Roman"/>
          <w:sz w:val="24"/>
          <w:szCs w:val="24"/>
        </w:rPr>
        <w:t xml:space="preserve"> </w:t>
      </w:r>
      <w:r w:rsidR="000E4514" w:rsidRPr="00EF782A">
        <w:rPr>
          <w:rFonts w:ascii="Times New Roman" w:hAnsi="Times New Roman" w:cs="Times New Roman"/>
          <w:sz w:val="24"/>
          <w:szCs w:val="24"/>
        </w:rPr>
        <w:t>it was immediately</w:t>
      </w:r>
      <w:r w:rsidR="000F5692" w:rsidRPr="00EF782A">
        <w:rPr>
          <w:rFonts w:ascii="Times New Roman" w:hAnsi="Times New Roman" w:cs="Times New Roman"/>
          <w:sz w:val="24"/>
          <w:szCs w:val="24"/>
        </w:rPr>
        <w:t xml:space="preserve"> </w:t>
      </w:r>
      <w:r w:rsidR="005B4DF3" w:rsidRPr="00EF782A">
        <w:rPr>
          <w:rFonts w:ascii="Times New Roman" w:hAnsi="Times New Roman" w:cs="Times New Roman"/>
          <w:sz w:val="24"/>
          <w:szCs w:val="24"/>
        </w:rPr>
        <w:t>taken to pose a fundamen</w:t>
      </w:r>
      <w:r w:rsidR="000E4514" w:rsidRPr="00EF782A">
        <w:rPr>
          <w:rFonts w:ascii="Times New Roman" w:hAnsi="Times New Roman" w:cs="Times New Roman"/>
          <w:sz w:val="24"/>
          <w:szCs w:val="24"/>
        </w:rPr>
        <w:t xml:space="preserve">tal threat to the existing </w:t>
      </w:r>
      <w:r w:rsidR="005B4DF3" w:rsidRPr="00EF782A">
        <w:rPr>
          <w:rFonts w:ascii="Times New Roman" w:hAnsi="Times New Roman" w:cs="Times New Roman"/>
          <w:sz w:val="24"/>
          <w:szCs w:val="24"/>
        </w:rPr>
        <w:t>social order.</w:t>
      </w:r>
      <w:r w:rsidR="00E640B6" w:rsidRPr="00EF782A">
        <w:rPr>
          <w:rFonts w:ascii="Times New Roman" w:hAnsi="Times New Roman" w:cs="Times New Roman"/>
          <w:sz w:val="24"/>
          <w:szCs w:val="24"/>
        </w:rPr>
        <w:t xml:space="preserve"> </w:t>
      </w:r>
      <w:r w:rsidR="00A824FA" w:rsidRPr="00EF782A">
        <w:rPr>
          <w:rFonts w:ascii="Times New Roman" w:hAnsi="Times New Roman" w:cs="Times New Roman"/>
          <w:sz w:val="24"/>
          <w:szCs w:val="24"/>
        </w:rPr>
        <w:t xml:space="preserve">The debates which </w:t>
      </w:r>
      <w:r w:rsidR="00210854" w:rsidRPr="00EF782A">
        <w:rPr>
          <w:rFonts w:ascii="Times New Roman" w:hAnsi="Times New Roman" w:cs="Times New Roman"/>
          <w:sz w:val="24"/>
          <w:szCs w:val="24"/>
        </w:rPr>
        <w:t>surrounded</w:t>
      </w:r>
      <w:r w:rsidR="00A824FA" w:rsidRPr="00EF782A">
        <w:rPr>
          <w:rFonts w:ascii="Times New Roman" w:hAnsi="Times New Roman" w:cs="Times New Roman"/>
          <w:sz w:val="24"/>
          <w:szCs w:val="24"/>
        </w:rPr>
        <w:t xml:space="preserve"> it </w:t>
      </w:r>
      <w:r w:rsidR="00A83763" w:rsidRPr="00EF782A">
        <w:rPr>
          <w:rFonts w:ascii="Times New Roman" w:hAnsi="Times New Roman" w:cs="Times New Roman"/>
          <w:sz w:val="24"/>
          <w:szCs w:val="24"/>
        </w:rPr>
        <w:t xml:space="preserve">are a crucial site for </w:t>
      </w:r>
      <w:r w:rsidR="004359EE" w:rsidRPr="00EF782A">
        <w:rPr>
          <w:rFonts w:ascii="Times New Roman" w:hAnsi="Times New Roman" w:cs="Times New Roman"/>
          <w:sz w:val="24"/>
          <w:szCs w:val="24"/>
        </w:rPr>
        <w:t>exploring</w:t>
      </w:r>
      <w:r w:rsidR="00A83763" w:rsidRPr="00EF782A">
        <w:rPr>
          <w:rFonts w:ascii="Times New Roman" w:hAnsi="Times New Roman" w:cs="Times New Roman"/>
          <w:sz w:val="24"/>
          <w:szCs w:val="24"/>
        </w:rPr>
        <w:t xml:space="preserve"> shifting notions of </w:t>
      </w:r>
      <w:r w:rsidR="004359EE" w:rsidRPr="00EF782A">
        <w:rPr>
          <w:rFonts w:ascii="Times New Roman" w:hAnsi="Times New Roman" w:cs="Times New Roman"/>
          <w:sz w:val="24"/>
          <w:szCs w:val="24"/>
        </w:rPr>
        <w:t>difference in the early modern period.</w:t>
      </w:r>
      <w:r w:rsidR="002D18F6" w:rsidRPr="00EF782A">
        <w:rPr>
          <w:rFonts w:ascii="Times New Roman" w:hAnsi="Times New Roman" w:cs="Times New Roman"/>
          <w:sz w:val="24"/>
          <w:szCs w:val="24"/>
        </w:rPr>
        <w:t xml:space="preserve"> A brief overview of the</w:t>
      </w:r>
      <w:r w:rsidR="008D07CD">
        <w:rPr>
          <w:rFonts w:ascii="Times New Roman" w:hAnsi="Times New Roman" w:cs="Times New Roman"/>
          <w:sz w:val="24"/>
          <w:szCs w:val="24"/>
        </w:rPr>
        <w:t xml:space="preserve"> course of the rebellion can </w:t>
      </w:r>
      <w:r w:rsidR="002D18F6" w:rsidRPr="00EF782A">
        <w:rPr>
          <w:rFonts w:ascii="Times New Roman" w:hAnsi="Times New Roman" w:cs="Times New Roman"/>
          <w:sz w:val="24"/>
          <w:szCs w:val="24"/>
        </w:rPr>
        <w:t>help situate the debates which it would spawn.</w:t>
      </w:r>
    </w:p>
    <w:p w14:paraId="2450C470" w14:textId="77777777" w:rsidR="00A04872" w:rsidRPr="00EF782A" w:rsidRDefault="00A04872" w:rsidP="00EF782A">
      <w:pPr>
        <w:spacing w:after="0" w:line="480" w:lineRule="auto"/>
        <w:rPr>
          <w:rFonts w:ascii="Times New Roman" w:hAnsi="Times New Roman" w:cs="Times New Roman"/>
          <w:sz w:val="24"/>
          <w:szCs w:val="24"/>
        </w:rPr>
      </w:pPr>
    </w:p>
    <w:p w14:paraId="498CC4C5" w14:textId="77777777" w:rsidR="00254FE7" w:rsidRPr="00254FE7" w:rsidRDefault="00254FE7" w:rsidP="00EF782A">
      <w:pPr>
        <w:spacing w:after="0" w:line="480" w:lineRule="auto"/>
        <w:rPr>
          <w:rFonts w:ascii="Times New Roman" w:hAnsi="Times New Roman" w:cs="Times New Roman"/>
          <w:b/>
          <w:sz w:val="24"/>
          <w:szCs w:val="24"/>
        </w:rPr>
      </w:pPr>
      <w:r>
        <w:rPr>
          <w:rFonts w:ascii="Times New Roman" w:hAnsi="Times New Roman" w:cs="Times New Roman"/>
          <w:b/>
          <w:sz w:val="24"/>
          <w:szCs w:val="24"/>
        </w:rPr>
        <w:t>The Events</w:t>
      </w:r>
    </w:p>
    <w:p w14:paraId="3865895E" w14:textId="77777777" w:rsidR="00780E3F" w:rsidRPr="00EF782A" w:rsidRDefault="00072563"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r>
      <w:r w:rsidR="000D045D" w:rsidRPr="00EF782A">
        <w:rPr>
          <w:rFonts w:ascii="Times New Roman" w:hAnsi="Times New Roman" w:cs="Times New Roman"/>
          <w:sz w:val="24"/>
          <w:szCs w:val="24"/>
        </w:rPr>
        <w:t xml:space="preserve">Although successful in repelling Juan II’s first advance on Toledo, Sarmiento was well aware that he could not hold out against him indefinitely. </w:t>
      </w:r>
      <w:r w:rsidR="00A27FE0" w:rsidRPr="00EF782A">
        <w:rPr>
          <w:rFonts w:ascii="Times New Roman" w:hAnsi="Times New Roman" w:cs="Times New Roman"/>
          <w:sz w:val="24"/>
          <w:szCs w:val="24"/>
        </w:rPr>
        <w:t>His plan was to win over the support of the king’</w:t>
      </w:r>
      <w:r w:rsidR="00835613" w:rsidRPr="00EF782A">
        <w:rPr>
          <w:rFonts w:ascii="Times New Roman" w:hAnsi="Times New Roman" w:cs="Times New Roman"/>
          <w:sz w:val="24"/>
          <w:szCs w:val="24"/>
        </w:rPr>
        <w:t xml:space="preserve">s son, Prince Enrique IV, by calling attention to their </w:t>
      </w:r>
      <w:r w:rsidR="00A27FE0" w:rsidRPr="00EF782A">
        <w:rPr>
          <w:rFonts w:ascii="Times New Roman" w:hAnsi="Times New Roman" w:cs="Times New Roman"/>
          <w:sz w:val="24"/>
          <w:szCs w:val="24"/>
        </w:rPr>
        <w:t>common enemy, Alvaro de Luna</w:t>
      </w:r>
      <w:r w:rsidR="00A508EA" w:rsidRPr="00EF782A">
        <w:rPr>
          <w:rFonts w:ascii="Times New Roman" w:hAnsi="Times New Roman" w:cs="Times New Roman"/>
          <w:sz w:val="24"/>
          <w:szCs w:val="24"/>
        </w:rPr>
        <w:t xml:space="preserve">. </w:t>
      </w:r>
      <w:r w:rsidR="003858D9" w:rsidRPr="00EF782A">
        <w:rPr>
          <w:rFonts w:ascii="Times New Roman" w:hAnsi="Times New Roman" w:cs="Times New Roman"/>
          <w:sz w:val="24"/>
          <w:szCs w:val="24"/>
        </w:rPr>
        <w:t>The power wielded by the king’s most favored advisor had already been a source of tension for Enrique. When the king</w:t>
      </w:r>
      <w:r w:rsidR="008C0344" w:rsidRPr="00EF782A">
        <w:rPr>
          <w:rFonts w:ascii="Times New Roman" w:hAnsi="Times New Roman" w:cs="Times New Roman"/>
          <w:sz w:val="24"/>
          <w:szCs w:val="24"/>
        </w:rPr>
        <w:t xml:space="preserve"> arrived to Toledo</w:t>
      </w:r>
      <w:r w:rsidR="003858D9" w:rsidRPr="00EF782A">
        <w:rPr>
          <w:rFonts w:ascii="Times New Roman" w:hAnsi="Times New Roman" w:cs="Times New Roman"/>
          <w:sz w:val="24"/>
          <w:szCs w:val="24"/>
        </w:rPr>
        <w:t xml:space="preserve"> in early May, Sarmiento </w:t>
      </w:r>
      <w:r w:rsidR="00772746" w:rsidRPr="00EF782A">
        <w:rPr>
          <w:rFonts w:ascii="Times New Roman" w:hAnsi="Times New Roman" w:cs="Times New Roman"/>
          <w:sz w:val="24"/>
          <w:szCs w:val="24"/>
        </w:rPr>
        <w:t xml:space="preserve">called for Enrique’s support in arbitrating the cessation of conflict. </w:t>
      </w:r>
      <w:r w:rsidR="0010564A" w:rsidRPr="00EF782A">
        <w:rPr>
          <w:rFonts w:ascii="Times New Roman" w:hAnsi="Times New Roman" w:cs="Times New Roman"/>
          <w:sz w:val="24"/>
          <w:szCs w:val="24"/>
        </w:rPr>
        <w:t xml:space="preserve">Enrique responded to the entreaty, </w:t>
      </w:r>
      <w:r w:rsidR="00780E3F" w:rsidRPr="00EF782A">
        <w:rPr>
          <w:rFonts w:ascii="Times New Roman" w:hAnsi="Times New Roman" w:cs="Times New Roman"/>
          <w:sz w:val="24"/>
          <w:szCs w:val="24"/>
        </w:rPr>
        <w:t xml:space="preserve">and as they began to negotiate </w:t>
      </w:r>
      <w:r w:rsidR="007902E7" w:rsidRPr="00EF782A">
        <w:rPr>
          <w:rFonts w:ascii="Times New Roman" w:hAnsi="Times New Roman" w:cs="Times New Roman"/>
          <w:sz w:val="24"/>
          <w:szCs w:val="24"/>
        </w:rPr>
        <w:t>the king withdrew his army.</w:t>
      </w:r>
    </w:p>
    <w:p w14:paraId="2A539FC9" w14:textId="77777777" w:rsidR="00CF5B0F" w:rsidRPr="00EF782A" w:rsidRDefault="007902E7"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t xml:space="preserve">The </w:t>
      </w:r>
      <w:r w:rsidR="00DE4631" w:rsidRPr="00EF782A">
        <w:rPr>
          <w:rFonts w:ascii="Times New Roman" w:hAnsi="Times New Roman" w:cs="Times New Roman"/>
          <w:sz w:val="24"/>
          <w:szCs w:val="24"/>
        </w:rPr>
        <w:t xml:space="preserve">future of Castile hung in an uncertain </w:t>
      </w:r>
      <w:r w:rsidR="00AE6E82" w:rsidRPr="00EF782A">
        <w:rPr>
          <w:rFonts w:ascii="Times New Roman" w:hAnsi="Times New Roman" w:cs="Times New Roman"/>
          <w:sz w:val="24"/>
          <w:szCs w:val="24"/>
        </w:rPr>
        <w:t xml:space="preserve">balance over the next several months. </w:t>
      </w:r>
      <w:r w:rsidR="00BA075E" w:rsidRPr="00EF782A">
        <w:rPr>
          <w:rFonts w:ascii="Times New Roman" w:hAnsi="Times New Roman" w:cs="Times New Roman"/>
          <w:sz w:val="24"/>
          <w:szCs w:val="24"/>
        </w:rPr>
        <w:t>In mid-July</w:t>
      </w:r>
      <w:r w:rsidR="00C438A4" w:rsidRPr="00EF782A">
        <w:rPr>
          <w:rFonts w:ascii="Times New Roman" w:hAnsi="Times New Roman" w:cs="Times New Roman"/>
          <w:sz w:val="24"/>
          <w:szCs w:val="24"/>
        </w:rPr>
        <w:t>,</w:t>
      </w:r>
      <w:r w:rsidR="00BA075E" w:rsidRPr="00EF782A">
        <w:rPr>
          <w:rFonts w:ascii="Times New Roman" w:hAnsi="Times New Roman" w:cs="Times New Roman"/>
          <w:sz w:val="24"/>
          <w:szCs w:val="24"/>
        </w:rPr>
        <w:t xml:space="preserve"> </w:t>
      </w:r>
      <w:r w:rsidR="000649D5" w:rsidRPr="00EF782A">
        <w:rPr>
          <w:rFonts w:ascii="Times New Roman" w:hAnsi="Times New Roman" w:cs="Times New Roman"/>
          <w:sz w:val="24"/>
          <w:szCs w:val="24"/>
        </w:rPr>
        <w:t>Enrique IV met with King Juan II of Navarre and a variety of other powerful nobles</w:t>
      </w:r>
      <w:r w:rsidR="00C438A4" w:rsidRPr="00EF782A">
        <w:rPr>
          <w:rFonts w:ascii="Times New Roman" w:hAnsi="Times New Roman" w:cs="Times New Roman"/>
          <w:sz w:val="24"/>
          <w:szCs w:val="24"/>
        </w:rPr>
        <w:t xml:space="preserve"> who sought to challenge Alvaro de Luna and </w:t>
      </w:r>
      <w:r w:rsidR="008D07CD">
        <w:rPr>
          <w:rFonts w:ascii="Times New Roman" w:hAnsi="Times New Roman" w:cs="Times New Roman"/>
          <w:sz w:val="24"/>
          <w:szCs w:val="24"/>
        </w:rPr>
        <w:t>the Castilian king</w:t>
      </w:r>
      <w:r w:rsidR="000649D5" w:rsidRPr="00EF782A">
        <w:rPr>
          <w:rFonts w:ascii="Times New Roman" w:hAnsi="Times New Roman" w:cs="Times New Roman"/>
          <w:sz w:val="24"/>
          <w:szCs w:val="24"/>
        </w:rPr>
        <w:t xml:space="preserve">. Muhammed IX, </w:t>
      </w:r>
      <w:r w:rsidR="00C476C6" w:rsidRPr="00EF782A">
        <w:rPr>
          <w:rFonts w:ascii="Times New Roman" w:hAnsi="Times New Roman" w:cs="Times New Roman"/>
          <w:sz w:val="24"/>
          <w:szCs w:val="24"/>
        </w:rPr>
        <w:t>s</w:t>
      </w:r>
      <w:r w:rsidR="000649D5" w:rsidRPr="00EF782A">
        <w:rPr>
          <w:rFonts w:ascii="Times New Roman" w:hAnsi="Times New Roman" w:cs="Times New Roman"/>
          <w:sz w:val="24"/>
          <w:szCs w:val="24"/>
        </w:rPr>
        <w:t xml:space="preserve">ultan of </w:t>
      </w:r>
      <w:r w:rsidR="00AA2022" w:rsidRPr="00EF782A">
        <w:rPr>
          <w:rFonts w:ascii="Times New Roman" w:hAnsi="Times New Roman" w:cs="Times New Roman"/>
          <w:sz w:val="24"/>
          <w:szCs w:val="24"/>
        </w:rPr>
        <w:t xml:space="preserve">Granada, </w:t>
      </w:r>
      <w:r w:rsidR="00BE624F" w:rsidRPr="00EF782A">
        <w:rPr>
          <w:rFonts w:ascii="Times New Roman" w:hAnsi="Times New Roman" w:cs="Times New Roman"/>
          <w:sz w:val="24"/>
          <w:szCs w:val="24"/>
        </w:rPr>
        <w:lastRenderedPageBreak/>
        <w:t xml:space="preserve">also joined in the </w:t>
      </w:r>
      <w:r w:rsidR="00364A59" w:rsidRPr="00EF782A">
        <w:rPr>
          <w:rFonts w:ascii="Times New Roman" w:hAnsi="Times New Roman" w:cs="Times New Roman"/>
          <w:sz w:val="24"/>
          <w:szCs w:val="24"/>
        </w:rPr>
        <w:t>conspiracy</w:t>
      </w:r>
      <w:r w:rsidR="00BE624F" w:rsidRPr="00EF782A">
        <w:rPr>
          <w:rFonts w:ascii="Times New Roman" w:hAnsi="Times New Roman" w:cs="Times New Roman"/>
          <w:sz w:val="24"/>
          <w:szCs w:val="24"/>
        </w:rPr>
        <w:t>.</w:t>
      </w:r>
      <w:r w:rsidR="00F70827" w:rsidRPr="00EF782A">
        <w:rPr>
          <w:rStyle w:val="FootnoteReference"/>
          <w:rFonts w:ascii="Times New Roman" w:hAnsi="Times New Roman" w:cs="Times New Roman"/>
          <w:sz w:val="24"/>
          <w:szCs w:val="24"/>
        </w:rPr>
        <w:footnoteReference w:id="12"/>
      </w:r>
      <w:r w:rsidR="00BE624F" w:rsidRPr="00EF782A">
        <w:rPr>
          <w:rFonts w:ascii="Times New Roman" w:hAnsi="Times New Roman" w:cs="Times New Roman"/>
          <w:sz w:val="24"/>
          <w:szCs w:val="24"/>
        </w:rPr>
        <w:t xml:space="preserve"> </w:t>
      </w:r>
      <w:r w:rsidR="00B51271" w:rsidRPr="00EF782A">
        <w:rPr>
          <w:rFonts w:ascii="Times New Roman" w:hAnsi="Times New Roman" w:cs="Times New Roman"/>
          <w:sz w:val="24"/>
          <w:szCs w:val="24"/>
        </w:rPr>
        <w:t>However</w:t>
      </w:r>
      <w:r w:rsidR="006525B4" w:rsidRPr="00EF782A">
        <w:rPr>
          <w:rFonts w:ascii="Times New Roman" w:hAnsi="Times New Roman" w:cs="Times New Roman"/>
          <w:sz w:val="24"/>
          <w:szCs w:val="24"/>
        </w:rPr>
        <w:t>,</w:t>
      </w:r>
      <w:r w:rsidR="00B51271" w:rsidRPr="00EF782A">
        <w:rPr>
          <w:rFonts w:ascii="Times New Roman" w:hAnsi="Times New Roman" w:cs="Times New Roman"/>
          <w:sz w:val="24"/>
          <w:szCs w:val="24"/>
        </w:rPr>
        <w:t xml:space="preserve"> the alliance proved to be unsteady, possibly due to a lack of trust amongst the conspirators or </w:t>
      </w:r>
      <w:r w:rsidR="006F01A0" w:rsidRPr="00EF782A">
        <w:rPr>
          <w:rFonts w:ascii="Times New Roman" w:hAnsi="Times New Roman" w:cs="Times New Roman"/>
          <w:sz w:val="24"/>
          <w:szCs w:val="24"/>
        </w:rPr>
        <w:t xml:space="preserve">their uncertainty over being able to </w:t>
      </w:r>
      <w:r w:rsidR="005325A0" w:rsidRPr="00EF782A">
        <w:rPr>
          <w:rFonts w:ascii="Times New Roman" w:hAnsi="Times New Roman" w:cs="Times New Roman"/>
          <w:sz w:val="24"/>
          <w:szCs w:val="24"/>
        </w:rPr>
        <w:t>overpower Luna.</w:t>
      </w:r>
      <w:r w:rsidR="00E839F0" w:rsidRPr="00EF782A">
        <w:rPr>
          <w:rStyle w:val="FootnoteReference"/>
          <w:rFonts w:ascii="Times New Roman" w:hAnsi="Times New Roman" w:cs="Times New Roman"/>
          <w:sz w:val="24"/>
          <w:szCs w:val="24"/>
        </w:rPr>
        <w:footnoteReference w:id="13"/>
      </w:r>
      <w:r w:rsidR="005325A0" w:rsidRPr="00EF782A">
        <w:rPr>
          <w:rFonts w:ascii="Times New Roman" w:hAnsi="Times New Roman" w:cs="Times New Roman"/>
          <w:sz w:val="24"/>
          <w:szCs w:val="24"/>
        </w:rPr>
        <w:t xml:space="preserve"> </w:t>
      </w:r>
      <w:r w:rsidR="006525B4" w:rsidRPr="00EF782A">
        <w:rPr>
          <w:rFonts w:ascii="Times New Roman" w:hAnsi="Times New Roman" w:cs="Times New Roman"/>
          <w:sz w:val="24"/>
          <w:szCs w:val="24"/>
        </w:rPr>
        <w:t xml:space="preserve">Abandoning the idea of a </w:t>
      </w:r>
      <w:r w:rsidR="006D4793">
        <w:rPr>
          <w:rFonts w:ascii="Times New Roman" w:hAnsi="Times New Roman" w:cs="Times New Roman"/>
          <w:sz w:val="24"/>
          <w:szCs w:val="24"/>
        </w:rPr>
        <w:t xml:space="preserve">direct assault, Enrique </w:t>
      </w:r>
      <w:r w:rsidR="006525B4" w:rsidRPr="00EF782A">
        <w:rPr>
          <w:rFonts w:ascii="Times New Roman" w:hAnsi="Times New Roman" w:cs="Times New Roman"/>
          <w:sz w:val="24"/>
          <w:szCs w:val="24"/>
        </w:rPr>
        <w:t xml:space="preserve">turned to compromise with </w:t>
      </w:r>
      <w:r w:rsidR="00BF3801" w:rsidRPr="00EF782A">
        <w:rPr>
          <w:rFonts w:ascii="Times New Roman" w:hAnsi="Times New Roman" w:cs="Times New Roman"/>
          <w:sz w:val="24"/>
          <w:szCs w:val="24"/>
        </w:rPr>
        <w:t>Luna</w:t>
      </w:r>
      <w:r w:rsidR="006525B4" w:rsidRPr="00EF782A">
        <w:rPr>
          <w:rFonts w:ascii="Times New Roman" w:hAnsi="Times New Roman" w:cs="Times New Roman"/>
          <w:sz w:val="24"/>
          <w:szCs w:val="24"/>
        </w:rPr>
        <w:t xml:space="preserve"> and the king.</w:t>
      </w:r>
      <w:r w:rsidR="00441BA9" w:rsidRPr="00EF782A">
        <w:rPr>
          <w:rFonts w:ascii="Times New Roman" w:hAnsi="Times New Roman" w:cs="Times New Roman"/>
          <w:sz w:val="24"/>
          <w:szCs w:val="24"/>
        </w:rPr>
        <w:t xml:space="preserve"> </w:t>
      </w:r>
      <w:r w:rsidR="002A2CF7" w:rsidRPr="00EF782A">
        <w:rPr>
          <w:rFonts w:ascii="Times New Roman" w:hAnsi="Times New Roman" w:cs="Times New Roman"/>
          <w:sz w:val="24"/>
          <w:szCs w:val="24"/>
        </w:rPr>
        <w:t xml:space="preserve">For the Toledan rebels, this represented a </w:t>
      </w:r>
      <w:r w:rsidR="00CE735C" w:rsidRPr="00EF782A">
        <w:rPr>
          <w:rFonts w:ascii="Times New Roman" w:hAnsi="Times New Roman" w:cs="Times New Roman"/>
          <w:sz w:val="24"/>
          <w:szCs w:val="24"/>
        </w:rPr>
        <w:t xml:space="preserve">drastic change in their prospects. </w:t>
      </w:r>
      <w:r w:rsidR="001562D9" w:rsidRPr="00EF782A">
        <w:rPr>
          <w:rFonts w:ascii="Times New Roman" w:hAnsi="Times New Roman" w:cs="Times New Roman"/>
          <w:sz w:val="24"/>
          <w:szCs w:val="24"/>
        </w:rPr>
        <w:t>Rather than being allies against Luna, they found themselves as a bargaining chip in the negotiatio</w:t>
      </w:r>
      <w:r w:rsidR="00441BA9" w:rsidRPr="00EF782A">
        <w:rPr>
          <w:rFonts w:ascii="Times New Roman" w:hAnsi="Times New Roman" w:cs="Times New Roman"/>
          <w:sz w:val="24"/>
          <w:szCs w:val="24"/>
        </w:rPr>
        <w:t>ns between the prince and king.</w:t>
      </w:r>
      <w:r w:rsidR="005E6C24" w:rsidRPr="00EF782A">
        <w:rPr>
          <w:rFonts w:ascii="Times New Roman" w:hAnsi="Times New Roman" w:cs="Times New Roman"/>
          <w:sz w:val="24"/>
          <w:szCs w:val="24"/>
        </w:rPr>
        <w:t xml:space="preserve"> Sarmiento had </w:t>
      </w:r>
      <w:r w:rsidR="006D4793">
        <w:rPr>
          <w:rFonts w:ascii="Times New Roman" w:hAnsi="Times New Roman" w:cs="Times New Roman"/>
          <w:sz w:val="24"/>
          <w:szCs w:val="24"/>
        </w:rPr>
        <w:t>gambled</w:t>
      </w:r>
      <w:r w:rsidR="005E6C24" w:rsidRPr="00EF782A">
        <w:rPr>
          <w:rFonts w:ascii="Times New Roman" w:hAnsi="Times New Roman" w:cs="Times New Roman"/>
          <w:sz w:val="24"/>
          <w:szCs w:val="24"/>
        </w:rPr>
        <w:t xml:space="preserve"> everything </w:t>
      </w:r>
      <w:r w:rsidR="006D4793">
        <w:rPr>
          <w:rFonts w:ascii="Times New Roman" w:hAnsi="Times New Roman" w:cs="Times New Roman"/>
          <w:sz w:val="24"/>
          <w:szCs w:val="24"/>
        </w:rPr>
        <w:t>by</w:t>
      </w:r>
      <w:r w:rsidR="005E6C24" w:rsidRPr="00EF782A">
        <w:rPr>
          <w:rFonts w:ascii="Times New Roman" w:hAnsi="Times New Roman" w:cs="Times New Roman"/>
          <w:sz w:val="24"/>
          <w:szCs w:val="24"/>
        </w:rPr>
        <w:t xml:space="preserve"> </w:t>
      </w:r>
      <w:r w:rsidR="008C1ABD" w:rsidRPr="00EF782A">
        <w:rPr>
          <w:rFonts w:ascii="Times New Roman" w:hAnsi="Times New Roman" w:cs="Times New Roman"/>
          <w:sz w:val="24"/>
          <w:szCs w:val="24"/>
        </w:rPr>
        <w:t xml:space="preserve">pledging his allegiance (and partial control of the city) to Enrique. Once Enrique </w:t>
      </w:r>
      <w:r w:rsidR="00224B1D" w:rsidRPr="00EF782A">
        <w:rPr>
          <w:rFonts w:ascii="Times New Roman" w:hAnsi="Times New Roman" w:cs="Times New Roman"/>
          <w:sz w:val="24"/>
          <w:szCs w:val="24"/>
        </w:rPr>
        <w:t>moved to make peace with the king</w:t>
      </w:r>
      <w:r w:rsidR="005070B1" w:rsidRPr="00EF782A">
        <w:rPr>
          <w:rFonts w:ascii="Times New Roman" w:hAnsi="Times New Roman" w:cs="Times New Roman"/>
          <w:sz w:val="24"/>
          <w:szCs w:val="24"/>
        </w:rPr>
        <w:t xml:space="preserve"> the rebels’ day</w:t>
      </w:r>
      <w:r w:rsidR="0022747E" w:rsidRPr="00EF782A">
        <w:rPr>
          <w:rFonts w:ascii="Times New Roman" w:hAnsi="Times New Roman" w:cs="Times New Roman"/>
          <w:sz w:val="24"/>
          <w:szCs w:val="24"/>
        </w:rPr>
        <w:t>s were numbered.</w:t>
      </w:r>
    </w:p>
    <w:p w14:paraId="6525A42E" w14:textId="77777777" w:rsidR="003E21BB" w:rsidRPr="00EF782A" w:rsidRDefault="0022747E"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Sarmiento</w:t>
      </w:r>
      <w:r w:rsidR="00447E72" w:rsidRPr="00EF782A">
        <w:rPr>
          <w:rFonts w:ascii="Times New Roman" w:hAnsi="Times New Roman" w:cs="Times New Roman"/>
          <w:sz w:val="24"/>
          <w:szCs w:val="24"/>
        </w:rPr>
        <w:t xml:space="preserve"> had arranged to cede control of various city fortifications to Enrique while </w:t>
      </w:r>
      <w:r w:rsidR="006B6089" w:rsidRPr="00EF782A">
        <w:rPr>
          <w:rFonts w:ascii="Times New Roman" w:hAnsi="Times New Roman" w:cs="Times New Roman"/>
          <w:sz w:val="24"/>
          <w:szCs w:val="24"/>
        </w:rPr>
        <w:t>keeping others in the hands of his accomplices</w:t>
      </w:r>
      <w:r w:rsidR="00447E72" w:rsidRPr="00EF782A">
        <w:rPr>
          <w:rFonts w:ascii="Times New Roman" w:hAnsi="Times New Roman" w:cs="Times New Roman"/>
          <w:sz w:val="24"/>
          <w:szCs w:val="24"/>
        </w:rPr>
        <w:t>. In December</w:t>
      </w:r>
      <w:r w:rsidR="00762D5C">
        <w:rPr>
          <w:rFonts w:ascii="Times New Roman" w:hAnsi="Times New Roman" w:cs="Times New Roman"/>
          <w:sz w:val="24"/>
          <w:szCs w:val="24"/>
        </w:rPr>
        <w:t>,</w:t>
      </w:r>
      <w:r w:rsidR="00447E72" w:rsidRPr="00EF782A">
        <w:rPr>
          <w:rFonts w:ascii="Times New Roman" w:hAnsi="Times New Roman" w:cs="Times New Roman"/>
          <w:sz w:val="24"/>
          <w:szCs w:val="24"/>
        </w:rPr>
        <w:t xml:space="preserve"> Enrique moved to </w:t>
      </w:r>
      <w:r w:rsidR="002936CE" w:rsidRPr="00EF782A">
        <w:rPr>
          <w:rFonts w:ascii="Times New Roman" w:hAnsi="Times New Roman" w:cs="Times New Roman"/>
          <w:sz w:val="24"/>
          <w:szCs w:val="24"/>
        </w:rPr>
        <w:t>take them all. With the support of the townspeopl</w:t>
      </w:r>
      <w:r w:rsidR="00BF3801" w:rsidRPr="00EF782A">
        <w:rPr>
          <w:rFonts w:ascii="Times New Roman" w:hAnsi="Times New Roman" w:cs="Times New Roman"/>
          <w:sz w:val="24"/>
          <w:szCs w:val="24"/>
        </w:rPr>
        <w:t>e he consolidated his command over</w:t>
      </w:r>
      <w:r w:rsidR="002936CE" w:rsidRPr="00EF782A">
        <w:rPr>
          <w:rFonts w:ascii="Times New Roman" w:hAnsi="Times New Roman" w:cs="Times New Roman"/>
          <w:sz w:val="24"/>
          <w:szCs w:val="24"/>
        </w:rPr>
        <w:t xml:space="preserve"> Toledo, executing several rebel leaders who resisted him.</w:t>
      </w:r>
      <w:r w:rsidR="002936CE" w:rsidRPr="00EF782A">
        <w:rPr>
          <w:rStyle w:val="FootnoteReference"/>
          <w:rFonts w:ascii="Times New Roman" w:hAnsi="Times New Roman" w:cs="Times New Roman"/>
          <w:sz w:val="24"/>
          <w:szCs w:val="24"/>
        </w:rPr>
        <w:footnoteReference w:id="14"/>
      </w:r>
      <w:r w:rsidR="002936CE" w:rsidRPr="00EF782A">
        <w:rPr>
          <w:rFonts w:ascii="Times New Roman" w:hAnsi="Times New Roman" w:cs="Times New Roman"/>
          <w:sz w:val="24"/>
          <w:szCs w:val="24"/>
        </w:rPr>
        <w:t xml:space="preserve"> By May of 1450</w:t>
      </w:r>
      <w:r w:rsidR="00484A94" w:rsidRPr="00EF782A">
        <w:rPr>
          <w:rFonts w:ascii="Times New Roman" w:hAnsi="Times New Roman" w:cs="Times New Roman"/>
          <w:sz w:val="24"/>
          <w:szCs w:val="24"/>
        </w:rPr>
        <w:t>,</w:t>
      </w:r>
      <w:r w:rsidR="002936CE" w:rsidRPr="00EF782A">
        <w:rPr>
          <w:rFonts w:ascii="Times New Roman" w:hAnsi="Times New Roman" w:cs="Times New Roman"/>
          <w:sz w:val="24"/>
          <w:szCs w:val="24"/>
        </w:rPr>
        <w:t xml:space="preserve"> Sarmiento </w:t>
      </w:r>
      <w:r w:rsidR="006B6089" w:rsidRPr="00EF782A">
        <w:rPr>
          <w:rFonts w:ascii="Times New Roman" w:hAnsi="Times New Roman" w:cs="Times New Roman"/>
          <w:sz w:val="24"/>
          <w:szCs w:val="24"/>
        </w:rPr>
        <w:t>was forced to flee</w:t>
      </w:r>
      <w:r w:rsidR="00C515DC" w:rsidRPr="00EF782A">
        <w:rPr>
          <w:rFonts w:ascii="Times New Roman" w:hAnsi="Times New Roman" w:cs="Times New Roman"/>
          <w:sz w:val="24"/>
          <w:szCs w:val="24"/>
        </w:rPr>
        <w:t xml:space="preserve"> in</w:t>
      </w:r>
      <w:r w:rsidR="006B6089" w:rsidRPr="00EF782A">
        <w:rPr>
          <w:rFonts w:ascii="Times New Roman" w:hAnsi="Times New Roman" w:cs="Times New Roman"/>
          <w:sz w:val="24"/>
          <w:szCs w:val="24"/>
        </w:rPr>
        <w:t>to</w:t>
      </w:r>
      <w:r w:rsidR="00C515DC" w:rsidRPr="00EF782A">
        <w:rPr>
          <w:rFonts w:ascii="Times New Roman" w:hAnsi="Times New Roman" w:cs="Times New Roman"/>
          <w:sz w:val="24"/>
          <w:szCs w:val="24"/>
        </w:rPr>
        <w:t xml:space="preserve"> exile. </w:t>
      </w:r>
      <w:r w:rsidR="00686832" w:rsidRPr="00EF782A">
        <w:rPr>
          <w:rFonts w:ascii="Times New Roman" w:hAnsi="Times New Roman" w:cs="Times New Roman"/>
          <w:sz w:val="24"/>
          <w:szCs w:val="24"/>
        </w:rPr>
        <w:t>While this marked the end of the Toledan rebellion, the issues raised during the course of it would not be so easily put to rest.</w:t>
      </w:r>
    </w:p>
    <w:p w14:paraId="70186175" w14:textId="77777777" w:rsidR="00BF72C0" w:rsidRPr="00EF782A" w:rsidRDefault="00BF72C0" w:rsidP="00EF782A">
      <w:pPr>
        <w:spacing w:after="0" w:line="480" w:lineRule="auto"/>
        <w:rPr>
          <w:rFonts w:ascii="Times New Roman" w:hAnsi="Times New Roman" w:cs="Times New Roman"/>
          <w:sz w:val="24"/>
          <w:szCs w:val="24"/>
        </w:rPr>
      </w:pPr>
    </w:p>
    <w:p w14:paraId="725FC328" w14:textId="77777777" w:rsidR="00BF72C0" w:rsidRPr="00254FE7" w:rsidRDefault="00254FE7" w:rsidP="00EF782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The </w:t>
      </w:r>
      <w:r w:rsidR="00763067">
        <w:rPr>
          <w:rFonts w:ascii="Times New Roman" w:hAnsi="Times New Roman" w:cs="Times New Roman"/>
          <w:b/>
          <w:sz w:val="24"/>
          <w:szCs w:val="24"/>
        </w:rPr>
        <w:t>Anti-Converso Case</w:t>
      </w:r>
    </w:p>
    <w:p w14:paraId="5ECEC6E5" w14:textId="77777777" w:rsidR="00CE6088" w:rsidRDefault="00BF72C0"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r>
      <w:r w:rsidR="002D5E46" w:rsidRPr="00EF782A">
        <w:rPr>
          <w:rFonts w:ascii="Times New Roman" w:hAnsi="Times New Roman" w:cs="Times New Roman"/>
          <w:sz w:val="24"/>
          <w:szCs w:val="24"/>
        </w:rPr>
        <w:t xml:space="preserve">One </w:t>
      </w:r>
      <w:r w:rsidR="00762D5C">
        <w:rPr>
          <w:rFonts w:ascii="Times New Roman" w:hAnsi="Times New Roman" w:cs="Times New Roman"/>
          <w:sz w:val="24"/>
          <w:szCs w:val="24"/>
        </w:rPr>
        <w:t>clearly finds</w:t>
      </w:r>
      <w:r w:rsidR="002D5E46" w:rsidRPr="00EF782A">
        <w:rPr>
          <w:rFonts w:ascii="Times New Roman" w:hAnsi="Times New Roman" w:cs="Times New Roman"/>
          <w:sz w:val="24"/>
          <w:szCs w:val="24"/>
        </w:rPr>
        <w:t xml:space="preserve"> in the events of 1449 a st</w:t>
      </w:r>
      <w:r w:rsidR="00FD646D" w:rsidRPr="00EF782A">
        <w:rPr>
          <w:rFonts w:ascii="Times New Roman" w:hAnsi="Times New Roman" w:cs="Times New Roman"/>
          <w:sz w:val="24"/>
          <w:szCs w:val="24"/>
        </w:rPr>
        <w:t>ruggle over political supremacy</w:t>
      </w:r>
      <w:r w:rsidR="002D5E46" w:rsidRPr="00EF782A">
        <w:rPr>
          <w:rFonts w:ascii="Times New Roman" w:hAnsi="Times New Roman" w:cs="Times New Roman"/>
          <w:sz w:val="24"/>
          <w:szCs w:val="24"/>
        </w:rPr>
        <w:t>.</w:t>
      </w:r>
      <w:r w:rsidR="00FD646D" w:rsidRPr="00EF782A">
        <w:rPr>
          <w:rStyle w:val="FootnoteReference"/>
          <w:rFonts w:ascii="Times New Roman" w:hAnsi="Times New Roman" w:cs="Times New Roman"/>
          <w:sz w:val="24"/>
          <w:szCs w:val="24"/>
        </w:rPr>
        <w:footnoteReference w:id="15"/>
      </w:r>
      <w:r w:rsidR="002D5E46" w:rsidRPr="00EF782A">
        <w:rPr>
          <w:rFonts w:ascii="Times New Roman" w:hAnsi="Times New Roman" w:cs="Times New Roman"/>
          <w:sz w:val="24"/>
          <w:szCs w:val="24"/>
        </w:rPr>
        <w:t xml:space="preserve"> </w:t>
      </w:r>
      <w:r w:rsidR="007511B2" w:rsidRPr="00EF782A">
        <w:rPr>
          <w:rFonts w:ascii="Times New Roman" w:hAnsi="Times New Roman" w:cs="Times New Roman"/>
          <w:sz w:val="24"/>
          <w:szCs w:val="24"/>
        </w:rPr>
        <w:t>The motives for the rebellion</w:t>
      </w:r>
      <w:r w:rsidR="006C1DB5" w:rsidRPr="00EF782A">
        <w:rPr>
          <w:rFonts w:ascii="Times New Roman" w:hAnsi="Times New Roman" w:cs="Times New Roman"/>
          <w:sz w:val="24"/>
          <w:szCs w:val="24"/>
        </w:rPr>
        <w:t xml:space="preserve"> and</w:t>
      </w:r>
      <w:r w:rsidR="00F65944" w:rsidRPr="00EF782A">
        <w:rPr>
          <w:rFonts w:ascii="Times New Roman" w:hAnsi="Times New Roman" w:cs="Times New Roman"/>
          <w:sz w:val="24"/>
          <w:szCs w:val="24"/>
        </w:rPr>
        <w:t xml:space="preserve"> its resolution can be told </w:t>
      </w:r>
      <w:r w:rsidR="00762D5C">
        <w:rPr>
          <w:rFonts w:ascii="Times New Roman" w:hAnsi="Times New Roman" w:cs="Times New Roman"/>
          <w:sz w:val="24"/>
          <w:szCs w:val="24"/>
        </w:rPr>
        <w:t>as</w:t>
      </w:r>
      <w:r w:rsidR="00F65944" w:rsidRPr="00EF782A">
        <w:rPr>
          <w:rFonts w:ascii="Times New Roman" w:hAnsi="Times New Roman" w:cs="Times New Roman"/>
          <w:sz w:val="24"/>
          <w:szCs w:val="24"/>
        </w:rPr>
        <w:t xml:space="preserve"> the story of a</w:t>
      </w:r>
      <w:r w:rsidR="005D6100" w:rsidRPr="00EF782A">
        <w:rPr>
          <w:rFonts w:ascii="Times New Roman" w:hAnsi="Times New Roman" w:cs="Times New Roman"/>
          <w:sz w:val="24"/>
          <w:szCs w:val="24"/>
        </w:rPr>
        <w:t xml:space="preserve"> </w:t>
      </w:r>
      <w:r w:rsidR="0045470C" w:rsidRPr="00EF782A">
        <w:rPr>
          <w:rFonts w:ascii="Times New Roman" w:hAnsi="Times New Roman" w:cs="Times New Roman"/>
          <w:sz w:val="24"/>
          <w:szCs w:val="24"/>
        </w:rPr>
        <w:t>king’s imperious advisor, an ambitious</w:t>
      </w:r>
      <w:r w:rsidR="005D6100" w:rsidRPr="00EF782A">
        <w:rPr>
          <w:rFonts w:ascii="Times New Roman" w:hAnsi="Times New Roman" w:cs="Times New Roman"/>
          <w:sz w:val="24"/>
          <w:szCs w:val="24"/>
        </w:rPr>
        <w:t xml:space="preserve"> young prince, </w:t>
      </w:r>
      <w:r w:rsidR="0045470C" w:rsidRPr="00EF782A">
        <w:rPr>
          <w:rFonts w:ascii="Times New Roman" w:hAnsi="Times New Roman" w:cs="Times New Roman"/>
          <w:sz w:val="24"/>
          <w:szCs w:val="24"/>
        </w:rPr>
        <w:t xml:space="preserve">and a resentful deposed governor </w:t>
      </w:r>
      <w:r w:rsidR="007511B2" w:rsidRPr="00EF782A">
        <w:rPr>
          <w:rFonts w:ascii="Times New Roman" w:hAnsi="Times New Roman" w:cs="Times New Roman"/>
          <w:sz w:val="24"/>
          <w:szCs w:val="24"/>
        </w:rPr>
        <w:t>vying for power</w:t>
      </w:r>
      <w:r w:rsidR="00F65944" w:rsidRPr="00EF782A">
        <w:rPr>
          <w:rFonts w:ascii="Times New Roman" w:hAnsi="Times New Roman" w:cs="Times New Roman"/>
          <w:sz w:val="24"/>
          <w:szCs w:val="24"/>
        </w:rPr>
        <w:t xml:space="preserve">. </w:t>
      </w:r>
      <w:r w:rsidR="00D85F13" w:rsidRPr="00EF782A">
        <w:rPr>
          <w:rFonts w:ascii="Times New Roman" w:hAnsi="Times New Roman" w:cs="Times New Roman"/>
          <w:sz w:val="24"/>
          <w:szCs w:val="24"/>
        </w:rPr>
        <w:t xml:space="preserve">While these are important elements of </w:t>
      </w:r>
      <w:r w:rsidR="00484A94" w:rsidRPr="00EF782A">
        <w:rPr>
          <w:rFonts w:ascii="Times New Roman" w:hAnsi="Times New Roman" w:cs="Times New Roman"/>
          <w:sz w:val="24"/>
          <w:szCs w:val="24"/>
        </w:rPr>
        <w:t xml:space="preserve">what occurred, </w:t>
      </w:r>
      <w:r w:rsidR="00A775EB" w:rsidRPr="00EF782A">
        <w:rPr>
          <w:rFonts w:ascii="Times New Roman" w:hAnsi="Times New Roman" w:cs="Times New Roman"/>
          <w:sz w:val="24"/>
          <w:szCs w:val="24"/>
        </w:rPr>
        <w:t>th</w:t>
      </w:r>
      <w:r w:rsidR="00CB67F1" w:rsidRPr="00EF782A">
        <w:rPr>
          <w:rFonts w:ascii="Times New Roman" w:hAnsi="Times New Roman" w:cs="Times New Roman"/>
          <w:sz w:val="24"/>
          <w:szCs w:val="24"/>
        </w:rPr>
        <w:t>is sketch</w:t>
      </w:r>
      <w:r w:rsidR="00A775EB" w:rsidRPr="00EF782A">
        <w:rPr>
          <w:rFonts w:ascii="Times New Roman" w:hAnsi="Times New Roman" w:cs="Times New Roman"/>
          <w:sz w:val="24"/>
          <w:szCs w:val="24"/>
        </w:rPr>
        <w:t xml:space="preserve"> would be incomplete if it did not attend to </w:t>
      </w:r>
      <w:r w:rsidR="005E47A8" w:rsidRPr="00EF782A">
        <w:rPr>
          <w:rFonts w:ascii="Times New Roman" w:hAnsi="Times New Roman" w:cs="Times New Roman"/>
          <w:sz w:val="24"/>
          <w:szCs w:val="24"/>
        </w:rPr>
        <w:t xml:space="preserve">the </w:t>
      </w:r>
      <w:r w:rsidR="005E47A8" w:rsidRPr="00EF782A">
        <w:rPr>
          <w:rFonts w:ascii="Times New Roman" w:hAnsi="Times New Roman" w:cs="Times New Roman"/>
          <w:sz w:val="24"/>
          <w:szCs w:val="24"/>
        </w:rPr>
        <w:lastRenderedPageBreak/>
        <w:t xml:space="preserve">ways in which these </w:t>
      </w:r>
      <w:r w:rsidR="007E436E" w:rsidRPr="00EF782A">
        <w:rPr>
          <w:rFonts w:ascii="Times New Roman" w:hAnsi="Times New Roman" w:cs="Times New Roman"/>
          <w:sz w:val="24"/>
          <w:szCs w:val="24"/>
        </w:rPr>
        <w:t>subjects</w:t>
      </w:r>
      <w:r w:rsidR="005E47A8" w:rsidRPr="00EF782A">
        <w:rPr>
          <w:rFonts w:ascii="Times New Roman" w:hAnsi="Times New Roman" w:cs="Times New Roman"/>
          <w:sz w:val="24"/>
          <w:szCs w:val="24"/>
        </w:rPr>
        <w:t xml:space="preserve"> </w:t>
      </w:r>
      <w:r w:rsidR="00CB67F1" w:rsidRPr="00EF782A">
        <w:rPr>
          <w:rFonts w:ascii="Times New Roman" w:hAnsi="Times New Roman" w:cs="Times New Roman"/>
          <w:sz w:val="24"/>
          <w:szCs w:val="24"/>
        </w:rPr>
        <w:t xml:space="preserve">accounted for their own actions. </w:t>
      </w:r>
      <w:r w:rsidR="000A3419" w:rsidRPr="00EF782A">
        <w:rPr>
          <w:rFonts w:ascii="Times New Roman" w:hAnsi="Times New Roman" w:cs="Times New Roman"/>
          <w:sz w:val="24"/>
          <w:szCs w:val="24"/>
        </w:rPr>
        <w:t xml:space="preserve">The point is not to </w:t>
      </w:r>
      <w:r w:rsidR="00B01B33" w:rsidRPr="00EF782A">
        <w:rPr>
          <w:rFonts w:ascii="Times New Roman" w:hAnsi="Times New Roman" w:cs="Times New Roman"/>
          <w:sz w:val="24"/>
          <w:szCs w:val="24"/>
        </w:rPr>
        <w:t>adjudicate</w:t>
      </w:r>
      <w:r w:rsidR="000A3419" w:rsidRPr="00EF782A">
        <w:rPr>
          <w:rFonts w:ascii="Times New Roman" w:hAnsi="Times New Roman" w:cs="Times New Roman"/>
          <w:sz w:val="24"/>
          <w:szCs w:val="24"/>
        </w:rPr>
        <w:t xml:space="preserve"> the sincerity </w:t>
      </w:r>
      <w:r w:rsidR="00963562" w:rsidRPr="00EF782A">
        <w:rPr>
          <w:rFonts w:ascii="Times New Roman" w:hAnsi="Times New Roman" w:cs="Times New Roman"/>
          <w:sz w:val="24"/>
          <w:szCs w:val="24"/>
        </w:rPr>
        <w:t>of their claims. R</w:t>
      </w:r>
      <w:r w:rsidR="00B01B33" w:rsidRPr="00EF782A">
        <w:rPr>
          <w:rFonts w:ascii="Times New Roman" w:hAnsi="Times New Roman" w:cs="Times New Roman"/>
          <w:sz w:val="24"/>
          <w:szCs w:val="24"/>
        </w:rPr>
        <w:t>ather</w:t>
      </w:r>
      <w:r w:rsidR="00963562" w:rsidRPr="00EF782A">
        <w:rPr>
          <w:rFonts w:ascii="Times New Roman" w:hAnsi="Times New Roman" w:cs="Times New Roman"/>
          <w:sz w:val="24"/>
          <w:szCs w:val="24"/>
        </w:rPr>
        <w:t>, it is</w:t>
      </w:r>
      <w:r w:rsidR="00B01B33" w:rsidRPr="00EF782A">
        <w:rPr>
          <w:rFonts w:ascii="Times New Roman" w:hAnsi="Times New Roman" w:cs="Times New Roman"/>
          <w:sz w:val="24"/>
          <w:szCs w:val="24"/>
        </w:rPr>
        <w:t xml:space="preserve"> </w:t>
      </w:r>
      <w:r w:rsidR="004E6FA5" w:rsidRPr="00EF782A">
        <w:rPr>
          <w:rFonts w:ascii="Times New Roman" w:hAnsi="Times New Roman" w:cs="Times New Roman"/>
          <w:sz w:val="24"/>
          <w:szCs w:val="24"/>
        </w:rPr>
        <w:t xml:space="preserve">to </w:t>
      </w:r>
      <w:r w:rsidR="00963562" w:rsidRPr="00EF782A">
        <w:rPr>
          <w:rFonts w:ascii="Times New Roman" w:hAnsi="Times New Roman" w:cs="Times New Roman"/>
          <w:sz w:val="24"/>
          <w:szCs w:val="24"/>
        </w:rPr>
        <w:t>reveal</w:t>
      </w:r>
      <w:r w:rsidR="004E6FA5" w:rsidRPr="00EF782A">
        <w:rPr>
          <w:rFonts w:ascii="Times New Roman" w:hAnsi="Times New Roman" w:cs="Times New Roman"/>
          <w:sz w:val="24"/>
          <w:szCs w:val="24"/>
        </w:rPr>
        <w:t xml:space="preserve"> the conditions which</w:t>
      </w:r>
      <w:r w:rsidR="00963562" w:rsidRPr="00EF782A">
        <w:rPr>
          <w:rFonts w:ascii="Times New Roman" w:hAnsi="Times New Roman" w:cs="Times New Roman"/>
          <w:sz w:val="24"/>
          <w:szCs w:val="24"/>
        </w:rPr>
        <w:t xml:space="preserve"> made the</w:t>
      </w:r>
      <w:r w:rsidR="001601AC" w:rsidRPr="00EF782A">
        <w:rPr>
          <w:rFonts w:ascii="Times New Roman" w:hAnsi="Times New Roman" w:cs="Times New Roman"/>
          <w:sz w:val="24"/>
          <w:szCs w:val="24"/>
        </w:rPr>
        <w:t xml:space="preserve"> Toledans’ </w:t>
      </w:r>
      <w:r w:rsidR="005D58E8" w:rsidRPr="00EF782A">
        <w:rPr>
          <w:rFonts w:ascii="Times New Roman" w:hAnsi="Times New Roman" w:cs="Times New Roman"/>
          <w:sz w:val="24"/>
          <w:szCs w:val="24"/>
        </w:rPr>
        <w:t>actions</w:t>
      </w:r>
      <w:r w:rsidR="001601AC" w:rsidRPr="00EF782A">
        <w:rPr>
          <w:rFonts w:ascii="Times New Roman" w:hAnsi="Times New Roman" w:cs="Times New Roman"/>
          <w:sz w:val="24"/>
          <w:szCs w:val="24"/>
        </w:rPr>
        <w:t xml:space="preserve"> sensible so as to then explore </w:t>
      </w:r>
      <w:r w:rsidR="0043752B" w:rsidRPr="00EF782A">
        <w:rPr>
          <w:rFonts w:ascii="Times New Roman" w:hAnsi="Times New Roman" w:cs="Times New Roman"/>
          <w:sz w:val="24"/>
          <w:szCs w:val="24"/>
        </w:rPr>
        <w:t>what subsequent practices and beliefs were</w:t>
      </w:r>
      <w:r w:rsidR="00CE6088">
        <w:rPr>
          <w:rFonts w:ascii="Times New Roman" w:hAnsi="Times New Roman" w:cs="Times New Roman"/>
          <w:sz w:val="24"/>
          <w:szCs w:val="24"/>
        </w:rPr>
        <w:t xml:space="preserve"> enabled by the events of 1449.</w:t>
      </w:r>
    </w:p>
    <w:p w14:paraId="3DB138A7" w14:textId="77777777" w:rsidR="00FE431C" w:rsidRPr="00EF782A" w:rsidRDefault="003D300A" w:rsidP="00CE6088">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The first missive in the battle over the meaning of </w:t>
      </w:r>
      <w:r w:rsidR="001B4022" w:rsidRPr="00EF782A">
        <w:rPr>
          <w:rFonts w:ascii="Times New Roman" w:hAnsi="Times New Roman" w:cs="Times New Roman"/>
          <w:sz w:val="24"/>
          <w:szCs w:val="24"/>
        </w:rPr>
        <w:t>the Toledans’</w:t>
      </w:r>
      <w:r w:rsidRPr="00EF782A">
        <w:rPr>
          <w:rFonts w:ascii="Times New Roman" w:hAnsi="Times New Roman" w:cs="Times New Roman"/>
          <w:sz w:val="24"/>
          <w:szCs w:val="24"/>
        </w:rPr>
        <w:t xml:space="preserve"> actions came in the form of the </w:t>
      </w:r>
      <w:r w:rsidRPr="00EF782A">
        <w:rPr>
          <w:rFonts w:ascii="Times New Roman" w:hAnsi="Times New Roman" w:cs="Times New Roman"/>
          <w:i/>
          <w:sz w:val="24"/>
          <w:szCs w:val="24"/>
        </w:rPr>
        <w:t>Suplicación y Requerimiento de Pero Sarmiento al Rey Juan II</w:t>
      </w:r>
      <w:r w:rsidRPr="00EF782A">
        <w:rPr>
          <w:rFonts w:ascii="Times New Roman" w:hAnsi="Times New Roman" w:cs="Times New Roman"/>
          <w:sz w:val="24"/>
          <w:szCs w:val="24"/>
        </w:rPr>
        <w:t>.</w:t>
      </w:r>
      <w:r w:rsidR="004409E7" w:rsidRPr="00EF782A">
        <w:rPr>
          <w:rFonts w:ascii="Times New Roman" w:hAnsi="Times New Roman" w:cs="Times New Roman"/>
          <w:sz w:val="24"/>
          <w:szCs w:val="24"/>
        </w:rPr>
        <w:t xml:space="preserve"> </w:t>
      </w:r>
      <w:r w:rsidR="00F86F3F" w:rsidRPr="00EF782A">
        <w:rPr>
          <w:rFonts w:ascii="Times New Roman" w:hAnsi="Times New Roman" w:cs="Times New Roman"/>
          <w:sz w:val="24"/>
          <w:szCs w:val="24"/>
        </w:rPr>
        <w:t xml:space="preserve">Delivered to the king </w:t>
      </w:r>
      <w:r w:rsidR="00EA3769" w:rsidRPr="00EF782A">
        <w:rPr>
          <w:rFonts w:ascii="Times New Roman" w:hAnsi="Times New Roman" w:cs="Times New Roman"/>
          <w:sz w:val="24"/>
          <w:szCs w:val="24"/>
        </w:rPr>
        <w:t xml:space="preserve">as he arrived to lay siege to Toledo, </w:t>
      </w:r>
      <w:r w:rsidR="00E024BB" w:rsidRPr="00EF782A">
        <w:rPr>
          <w:rFonts w:ascii="Times New Roman" w:hAnsi="Times New Roman" w:cs="Times New Roman"/>
          <w:sz w:val="24"/>
          <w:szCs w:val="24"/>
        </w:rPr>
        <w:t xml:space="preserve">it </w:t>
      </w:r>
      <w:r w:rsidR="005409D9" w:rsidRPr="00EF782A">
        <w:rPr>
          <w:rFonts w:ascii="Times New Roman" w:hAnsi="Times New Roman" w:cs="Times New Roman"/>
          <w:sz w:val="24"/>
          <w:szCs w:val="24"/>
        </w:rPr>
        <w:t xml:space="preserve">framed </w:t>
      </w:r>
      <w:r w:rsidR="00677FDF" w:rsidRPr="00EF782A">
        <w:rPr>
          <w:rFonts w:ascii="Times New Roman" w:hAnsi="Times New Roman" w:cs="Times New Roman"/>
          <w:sz w:val="24"/>
          <w:szCs w:val="24"/>
        </w:rPr>
        <w:t>the rebellion as respondi</w:t>
      </w:r>
      <w:r w:rsidR="00B835DB">
        <w:rPr>
          <w:rFonts w:ascii="Times New Roman" w:hAnsi="Times New Roman" w:cs="Times New Roman"/>
          <w:sz w:val="24"/>
          <w:szCs w:val="24"/>
        </w:rPr>
        <w:t xml:space="preserve">ng to abuses perpetrated by the </w:t>
      </w:r>
      <w:r w:rsidR="00677FDF" w:rsidRPr="00EF782A">
        <w:rPr>
          <w:rFonts w:ascii="Times New Roman" w:hAnsi="Times New Roman" w:cs="Times New Roman"/>
          <w:sz w:val="24"/>
          <w:szCs w:val="24"/>
        </w:rPr>
        <w:t>Alvaro de Luna</w:t>
      </w:r>
      <w:r w:rsidR="00B835DB">
        <w:rPr>
          <w:rFonts w:ascii="Times New Roman" w:hAnsi="Times New Roman" w:cs="Times New Roman"/>
          <w:sz w:val="24"/>
          <w:szCs w:val="24"/>
        </w:rPr>
        <w:t xml:space="preserve"> instead of</w:t>
      </w:r>
      <w:r w:rsidR="00677FDF" w:rsidRPr="00EF782A">
        <w:rPr>
          <w:rFonts w:ascii="Times New Roman" w:hAnsi="Times New Roman" w:cs="Times New Roman"/>
          <w:sz w:val="24"/>
          <w:szCs w:val="24"/>
        </w:rPr>
        <w:t xml:space="preserve"> the king himself. </w:t>
      </w:r>
      <w:r w:rsidR="00A678AC" w:rsidRPr="00EF782A">
        <w:rPr>
          <w:rFonts w:ascii="Times New Roman" w:hAnsi="Times New Roman" w:cs="Times New Roman"/>
          <w:sz w:val="24"/>
          <w:szCs w:val="24"/>
        </w:rPr>
        <w:t>Alleging that</w:t>
      </w:r>
      <w:r w:rsidR="00E0525B" w:rsidRPr="00EF782A">
        <w:rPr>
          <w:rFonts w:ascii="Times New Roman" w:hAnsi="Times New Roman" w:cs="Times New Roman"/>
          <w:sz w:val="24"/>
          <w:szCs w:val="24"/>
        </w:rPr>
        <w:t xml:space="preserve"> the tax which sparked the rebellion </w:t>
      </w:r>
      <w:r w:rsidR="00A678AC" w:rsidRPr="00EF782A">
        <w:rPr>
          <w:rFonts w:ascii="Times New Roman" w:hAnsi="Times New Roman" w:cs="Times New Roman"/>
          <w:sz w:val="24"/>
          <w:szCs w:val="24"/>
        </w:rPr>
        <w:t>w</w:t>
      </w:r>
      <w:r w:rsidR="00E0525B" w:rsidRPr="00EF782A">
        <w:rPr>
          <w:rFonts w:ascii="Times New Roman" w:hAnsi="Times New Roman" w:cs="Times New Roman"/>
          <w:sz w:val="24"/>
          <w:szCs w:val="24"/>
        </w:rPr>
        <w:t xml:space="preserve">as </w:t>
      </w:r>
      <w:r w:rsidR="00DA7C3D" w:rsidRPr="00EF782A">
        <w:rPr>
          <w:rFonts w:ascii="Times New Roman" w:hAnsi="Times New Roman" w:cs="Times New Roman"/>
          <w:sz w:val="24"/>
          <w:szCs w:val="24"/>
        </w:rPr>
        <w:t>concocted</w:t>
      </w:r>
      <w:r w:rsidR="00A678AC" w:rsidRPr="00EF782A">
        <w:rPr>
          <w:rFonts w:ascii="Times New Roman" w:hAnsi="Times New Roman" w:cs="Times New Roman"/>
          <w:sz w:val="24"/>
          <w:szCs w:val="24"/>
        </w:rPr>
        <w:t xml:space="preserve"> by</w:t>
      </w:r>
      <w:r w:rsidR="00A105DB" w:rsidRPr="00EF782A">
        <w:rPr>
          <w:rFonts w:ascii="Times New Roman" w:hAnsi="Times New Roman" w:cs="Times New Roman"/>
          <w:sz w:val="24"/>
          <w:szCs w:val="24"/>
        </w:rPr>
        <w:t xml:space="preserve"> Luna and Cota</w:t>
      </w:r>
      <w:r w:rsidR="00A678AC" w:rsidRPr="00EF782A">
        <w:rPr>
          <w:rFonts w:ascii="Times New Roman" w:hAnsi="Times New Roman" w:cs="Times New Roman"/>
          <w:sz w:val="24"/>
          <w:szCs w:val="24"/>
        </w:rPr>
        <w:t xml:space="preserve"> for their own personal enrichment</w:t>
      </w:r>
      <w:r w:rsidR="00A105DB" w:rsidRPr="00EF782A">
        <w:rPr>
          <w:rFonts w:ascii="Times New Roman" w:hAnsi="Times New Roman" w:cs="Times New Roman"/>
          <w:sz w:val="24"/>
          <w:szCs w:val="24"/>
        </w:rPr>
        <w:t xml:space="preserve">, </w:t>
      </w:r>
      <w:r w:rsidR="00A678AC" w:rsidRPr="00EF782A">
        <w:rPr>
          <w:rFonts w:ascii="Times New Roman" w:hAnsi="Times New Roman" w:cs="Times New Roman"/>
          <w:sz w:val="24"/>
          <w:szCs w:val="24"/>
        </w:rPr>
        <w:t>Sarmiento</w:t>
      </w:r>
      <w:r w:rsidR="00967682" w:rsidRPr="00EF782A">
        <w:rPr>
          <w:rStyle w:val="FootnoteReference"/>
          <w:rFonts w:ascii="Times New Roman" w:hAnsi="Times New Roman" w:cs="Times New Roman"/>
          <w:sz w:val="24"/>
          <w:szCs w:val="24"/>
        </w:rPr>
        <w:footnoteReference w:id="16"/>
      </w:r>
      <w:r w:rsidR="00A105DB" w:rsidRPr="00EF782A">
        <w:rPr>
          <w:rFonts w:ascii="Times New Roman" w:hAnsi="Times New Roman" w:cs="Times New Roman"/>
          <w:sz w:val="24"/>
          <w:szCs w:val="24"/>
        </w:rPr>
        <w:t xml:space="preserve"> </w:t>
      </w:r>
      <w:r w:rsidR="004E1D67" w:rsidRPr="00EF782A">
        <w:rPr>
          <w:rFonts w:ascii="Times New Roman" w:hAnsi="Times New Roman" w:cs="Times New Roman"/>
          <w:sz w:val="24"/>
          <w:szCs w:val="24"/>
        </w:rPr>
        <w:t xml:space="preserve">charged Luna with the usurpation of royal power and situated himself as the </w:t>
      </w:r>
      <w:r w:rsidR="000E2F41" w:rsidRPr="00EF782A">
        <w:rPr>
          <w:rFonts w:ascii="Times New Roman" w:hAnsi="Times New Roman" w:cs="Times New Roman"/>
          <w:sz w:val="24"/>
          <w:szCs w:val="24"/>
        </w:rPr>
        <w:t>true advocate of legality</w:t>
      </w:r>
      <w:r w:rsidR="00FA6560" w:rsidRPr="00EF782A">
        <w:rPr>
          <w:rFonts w:ascii="Times New Roman" w:hAnsi="Times New Roman" w:cs="Times New Roman"/>
          <w:sz w:val="24"/>
          <w:szCs w:val="24"/>
        </w:rPr>
        <w:t>.</w:t>
      </w:r>
      <w:r w:rsidR="002A1509" w:rsidRPr="00EF782A">
        <w:rPr>
          <w:rFonts w:ascii="Times New Roman" w:hAnsi="Times New Roman" w:cs="Times New Roman"/>
          <w:sz w:val="24"/>
          <w:szCs w:val="24"/>
        </w:rPr>
        <w:t xml:space="preserve"> He writes that “don Alvaro de Luna, your constable, has tyrannically dissipated and devastated, and each day continues to usurp and devastate your kingdoms and manors, taking for himself the reign and management, which is the glory and power of your crown and only to your highness belongs.”</w:t>
      </w:r>
      <w:r w:rsidR="002A1509" w:rsidRPr="00EF782A">
        <w:rPr>
          <w:rStyle w:val="FootnoteReference"/>
          <w:rFonts w:ascii="Times New Roman" w:hAnsi="Times New Roman" w:cs="Times New Roman"/>
          <w:sz w:val="24"/>
          <w:szCs w:val="24"/>
        </w:rPr>
        <w:footnoteReference w:id="17"/>
      </w:r>
      <w:r w:rsidR="002A1509" w:rsidRPr="00EF782A">
        <w:rPr>
          <w:rFonts w:ascii="Times New Roman" w:hAnsi="Times New Roman" w:cs="Times New Roman"/>
          <w:sz w:val="24"/>
          <w:szCs w:val="24"/>
        </w:rPr>
        <w:t xml:space="preserve"> </w:t>
      </w:r>
      <w:r w:rsidR="0011681F" w:rsidRPr="00EF782A">
        <w:rPr>
          <w:rFonts w:ascii="Times New Roman" w:hAnsi="Times New Roman" w:cs="Times New Roman"/>
          <w:sz w:val="24"/>
          <w:szCs w:val="24"/>
        </w:rPr>
        <w:t>He goes on to accuse Luna of having sold offices to “persons unfaithful and heretics”</w:t>
      </w:r>
      <w:r w:rsidR="0011681F" w:rsidRPr="00EF782A">
        <w:rPr>
          <w:rStyle w:val="FootnoteReference"/>
          <w:rFonts w:ascii="Times New Roman" w:hAnsi="Times New Roman" w:cs="Times New Roman"/>
          <w:sz w:val="24"/>
          <w:szCs w:val="24"/>
        </w:rPr>
        <w:footnoteReference w:id="18"/>
      </w:r>
      <w:r w:rsidR="00AB1788" w:rsidRPr="00EF782A">
        <w:rPr>
          <w:rFonts w:ascii="Times New Roman" w:hAnsi="Times New Roman" w:cs="Times New Roman"/>
          <w:sz w:val="24"/>
          <w:szCs w:val="24"/>
        </w:rPr>
        <w:t xml:space="preserve"> who have used their posts to </w:t>
      </w:r>
      <w:r w:rsidR="00814AC4" w:rsidRPr="00EF782A">
        <w:rPr>
          <w:rFonts w:ascii="Times New Roman" w:hAnsi="Times New Roman" w:cs="Times New Roman"/>
          <w:sz w:val="24"/>
          <w:szCs w:val="24"/>
        </w:rPr>
        <w:t>plunder Old Christians.</w:t>
      </w:r>
      <w:r w:rsidR="00264DD2" w:rsidRPr="00EF782A">
        <w:rPr>
          <w:rFonts w:ascii="Times New Roman" w:hAnsi="Times New Roman" w:cs="Times New Roman"/>
          <w:sz w:val="24"/>
          <w:szCs w:val="24"/>
        </w:rPr>
        <w:t xml:space="preserve"> </w:t>
      </w:r>
      <w:r w:rsidR="00FE431C" w:rsidRPr="00EF782A">
        <w:rPr>
          <w:rFonts w:ascii="Times New Roman" w:hAnsi="Times New Roman" w:cs="Times New Roman"/>
          <w:sz w:val="24"/>
          <w:szCs w:val="24"/>
        </w:rPr>
        <w:t>Conversos are explicitly brought up in reference to Luna’s defense of them.</w:t>
      </w:r>
    </w:p>
    <w:p w14:paraId="52D72300" w14:textId="77777777" w:rsidR="00EF782A" w:rsidRDefault="00FE431C" w:rsidP="00EF782A">
      <w:pPr>
        <w:spacing w:after="0" w:line="240" w:lineRule="auto"/>
        <w:ind w:left="720" w:right="720"/>
        <w:rPr>
          <w:rFonts w:ascii="Times New Roman" w:hAnsi="Times New Roman" w:cs="Times New Roman"/>
          <w:sz w:val="20"/>
          <w:szCs w:val="20"/>
        </w:rPr>
      </w:pPr>
      <w:r w:rsidRPr="00EF782A">
        <w:rPr>
          <w:rFonts w:ascii="Times New Roman" w:hAnsi="Times New Roman" w:cs="Times New Roman"/>
          <w:sz w:val="20"/>
          <w:szCs w:val="20"/>
        </w:rPr>
        <w:t>It is notorious</w:t>
      </w:r>
      <w:r w:rsidR="00EB6671" w:rsidRPr="00EF782A">
        <w:rPr>
          <w:rFonts w:ascii="Times New Roman" w:hAnsi="Times New Roman" w:cs="Times New Roman"/>
          <w:sz w:val="20"/>
          <w:szCs w:val="20"/>
        </w:rPr>
        <w:t xml:space="preserve"> that</w:t>
      </w:r>
      <w:r w:rsidRPr="00EF782A">
        <w:rPr>
          <w:rFonts w:ascii="Times New Roman" w:hAnsi="Times New Roman" w:cs="Times New Roman"/>
          <w:sz w:val="20"/>
          <w:szCs w:val="20"/>
        </w:rPr>
        <w:t xml:space="preserve"> the said don Alvaro de Luna, your constable, </w:t>
      </w:r>
      <w:r w:rsidR="00424C98" w:rsidRPr="00EF782A">
        <w:rPr>
          <w:rFonts w:ascii="Times New Roman" w:hAnsi="Times New Roman" w:cs="Times New Roman"/>
          <w:sz w:val="20"/>
          <w:szCs w:val="20"/>
        </w:rPr>
        <w:t>publicly</w:t>
      </w:r>
      <w:r w:rsidR="00DB51C1" w:rsidRPr="00EF782A">
        <w:rPr>
          <w:rFonts w:ascii="Times New Roman" w:hAnsi="Times New Roman" w:cs="Times New Roman"/>
          <w:sz w:val="20"/>
          <w:szCs w:val="20"/>
        </w:rPr>
        <w:t xml:space="preserve"> defends and welcomes the conversos of Jewish lineage from your kingdoms, who are largely found to be unfaithful and heretics, who Judaize and keep the rites and ceremonies of Jews, apostatizing </w:t>
      </w:r>
      <w:r w:rsidR="007F781A" w:rsidRPr="00EF782A">
        <w:rPr>
          <w:rFonts w:ascii="Times New Roman" w:hAnsi="Times New Roman" w:cs="Times New Roman"/>
          <w:sz w:val="20"/>
          <w:szCs w:val="20"/>
        </w:rPr>
        <w:t xml:space="preserve">the chrismation and baptism they received, demonstrating through deeds and words that they received it on their skin and not in their hearts or in their will, such that </w:t>
      </w:r>
      <w:r w:rsidR="0063546C" w:rsidRPr="00EF782A">
        <w:rPr>
          <w:rFonts w:ascii="Times New Roman" w:hAnsi="Times New Roman" w:cs="Times New Roman"/>
          <w:sz w:val="20"/>
          <w:szCs w:val="20"/>
        </w:rPr>
        <w:t>their</w:t>
      </w:r>
      <w:r w:rsidR="00165229" w:rsidRPr="00EF782A">
        <w:rPr>
          <w:rFonts w:ascii="Times New Roman" w:hAnsi="Times New Roman" w:cs="Times New Roman"/>
          <w:sz w:val="20"/>
          <w:szCs w:val="20"/>
        </w:rPr>
        <w:t xml:space="preserve"> </w:t>
      </w:r>
      <w:r w:rsidR="00EB6671" w:rsidRPr="00EF782A">
        <w:rPr>
          <w:rFonts w:ascii="Times New Roman" w:hAnsi="Times New Roman" w:cs="Times New Roman"/>
          <w:sz w:val="20"/>
          <w:szCs w:val="20"/>
        </w:rPr>
        <w:t>C</w:t>
      </w:r>
      <w:r w:rsidR="0063546C" w:rsidRPr="00EF782A">
        <w:rPr>
          <w:rFonts w:ascii="Times New Roman" w:hAnsi="Times New Roman" w:cs="Times New Roman"/>
          <w:sz w:val="20"/>
          <w:szCs w:val="20"/>
        </w:rPr>
        <w:t>hristian color and name deceives</w:t>
      </w:r>
      <w:r w:rsidR="00EB6671" w:rsidRPr="00EF782A">
        <w:rPr>
          <w:rFonts w:ascii="Times New Roman" w:hAnsi="Times New Roman" w:cs="Times New Roman"/>
          <w:sz w:val="20"/>
          <w:szCs w:val="20"/>
        </w:rPr>
        <w:t>, devastating the souls, bodies, and estates of Christ</w:t>
      </w:r>
      <w:r w:rsidR="00B361D8" w:rsidRPr="00EF782A">
        <w:rPr>
          <w:rFonts w:ascii="Times New Roman" w:hAnsi="Times New Roman" w:cs="Times New Roman"/>
          <w:sz w:val="20"/>
          <w:szCs w:val="20"/>
        </w:rPr>
        <w:t>ians old in the c</w:t>
      </w:r>
      <w:r w:rsidR="00EB6671" w:rsidRPr="00EF782A">
        <w:rPr>
          <w:rFonts w:ascii="Times New Roman" w:hAnsi="Times New Roman" w:cs="Times New Roman"/>
          <w:sz w:val="20"/>
          <w:szCs w:val="20"/>
        </w:rPr>
        <w:t>atholic faith.</w:t>
      </w:r>
      <w:r w:rsidR="00EB6671" w:rsidRPr="00EF782A">
        <w:rPr>
          <w:rStyle w:val="FootnoteReference"/>
          <w:rFonts w:ascii="Times New Roman" w:hAnsi="Times New Roman" w:cs="Times New Roman"/>
          <w:sz w:val="20"/>
          <w:szCs w:val="20"/>
        </w:rPr>
        <w:footnoteReference w:id="19"/>
      </w:r>
    </w:p>
    <w:p w14:paraId="2266AA04" w14:textId="77777777" w:rsidR="00EF782A" w:rsidRPr="00EF782A" w:rsidRDefault="00EF782A" w:rsidP="00EF782A">
      <w:pPr>
        <w:spacing w:after="0" w:line="240" w:lineRule="auto"/>
        <w:ind w:left="720" w:right="720"/>
        <w:rPr>
          <w:rFonts w:ascii="Times New Roman" w:hAnsi="Times New Roman" w:cs="Times New Roman"/>
          <w:sz w:val="20"/>
          <w:szCs w:val="20"/>
        </w:rPr>
      </w:pPr>
    </w:p>
    <w:p w14:paraId="57952E53" w14:textId="77777777" w:rsidR="00964373" w:rsidRPr="00EF782A" w:rsidRDefault="00492772"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Sarmiento</w:t>
      </w:r>
      <w:r w:rsidR="000F79FC" w:rsidRPr="00EF782A">
        <w:rPr>
          <w:rFonts w:ascii="Times New Roman" w:hAnsi="Times New Roman" w:cs="Times New Roman"/>
          <w:sz w:val="24"/>
          <w:szCs w:val="24"/>
        </w:rPr>
        <w:t xml:space="preserve"> justified the</w:t>
      </w:r>
      <w:r w:rsidR="00B361D8" w:rsidRPr="00EF782A">
        <w:rPr>
          <w:rFonts w:ascii="Times New Roman" w:hAnsi="Times New Roman" w:cs="Times New Roman"/>
          <w:sz w:val="24"/>
          <w:szCs w:val="24"/>
        </w:rPr>
        <w:t xml:space="preserve"> </w:t>
      </w:r>
      <w:r w:rsidR="000F79FC" w:rsidRPr="00EF782A">
        <w:rPr>
          <w:rFonts w:ascii="Times New Roman" w:hAnsi="Times New Roman" w:cs="Times New Roman"/>
          <w:sz w:val="24"/>
          <w:szCs w:val="24"/>
        </w:rPr>
        <w:t>persecution of Toledan conversos by casting doubts o</w:t>
      </w:r>
      <w:r w:rsidR="005A404E" w:rsidRPr="00EF782A">
        <w:rPr>
          <w:rFonts w:ascii="Times New Roman" w:hAnsi="Times New Roman" w:cs="Times New Roman"/>
          <w:sz w:val="24"/>
          <w:szCs w:val="24"/>
        </w:rPr>
        <w:t>ver t</w:t>
      </w:r>
      <w:r w:rsidR="000F79FC" w:rsidRPr="00EF782A">
        <w:rPr>
          <w:rFonts w:ascii="Times New Roman" w:hAnsi="Times New Roman" w:cs="Times New Roman"/>
          <w:sz w:val="24"/>
          <w:szCs w:val="24"/>
        </w:rPr>
        <w:t xml:space="preserve">he sincerity of Jewish converts. </w:t>
      </w:r>
      <w:r w:rsidR="00E12374" w:rsidRPr="00EF782A">
        <w:rPr>
          <w:rFonts w:ascii="Times New Roman" w:hAnsi="Times New Roman" w:cs="Times New Roman"/>
          <w:sz w:val="24"/>
          <w:szCs w:val="24"/>
        </w:rPr>
        <w:t xml:space="preserve">The assertion of their enmity </w:t>
      </w:r>
      <w:r w:rsidR="000F79FC" w:rsidRPr="00EF782A">
        <w:rPr>
          <w:rFonts w:ascii="Times New Roman" w:hAnsi="Times New Roman" w:cs="Times New Roman"/>
          <w:sz w:val="24"/>
          <w:szCs w:val="24"/>
        </w:rPr>
        <w:t>toward Old Christians would</w:t>
      </w:r>
      <w:r w:rsidR="00E12374" w:rsidRPr="00EF782A">
        <w:rPr>
          <w:rFonts w:ascii="Times New Roman" w:hAnsi="Times New Roman" w:cs="Times New Roman"/>
          <w:sz w:val="24"/>
          <w:szCs w:val="24"/>
        </w:rPr>
        <w:t xml:space="preserve"> </w:t>
      </w:r>
      <w:r w:rsidR="00935540" w:rsidRPr="00EF782A">
        <w:rPr>
          <w:rFonts w:ascii="Times New Roman" w:hAnsi="Times New Roman" w:cs="Times New Roman"/>
          <w:sz w:val="24"/>
          <w:szCs w:val="24"/>
        </w:rPr>
        <w:t xml:space="preserve">continue to </w:t>
      </w:r>
      <w:r w:rsidR="00E12374" w:rsidRPr="00EF782A">
        <w:rPr>
          <w:rFonts w:ascii="Times New Roman" w:hAnsi="Times New Roman" w:cs="Times New Roman"/>
          <w:sz w:val="24"/>
          <w:szCs w:val="24"/>
        </w:rPr>
        <w:t xml:space="preserve">appear in later anti-converso works as </w:t>
      </w:r>
      <w:r w:rsidR="0006733F" w:rsidRPr="00EF782A">
        <w:rPr>
          <w:rFonts w:ascii="Times New Roman" w:hAnsi="Times New Roman" w:cs="Times New Roman"/>
          <w:sz w:val="24"/>
          <w:szCs w:val="24"/>
        </w:rPr>
        <w:t>an argument</w:t>
      </w:r>
      <w:r w:rsidR="00E12374" w:rsidRPr="00EF782A">
        <w:rPr>
          <w:rFonts w:ascii="Times New Roman" w:hAnsi="Times New Roman" w:cs="Times New Roman"/>
          <w:sz w:val="24"/>
          <w:szCs w:val="24"/>
        </w:rPr>
        <w:t xml:space="preserve"> for barring them from any position where they could exercise authority over Old Christians.</w:t>
      </w:r>
      <w:r w:rsidR="004D6F09" w:rsidRPr="00EF782A">
        <w:rPr>
          <w:rFonts w:ascii="Times New Roman" w:hAnsi="Times New Roman" w:cs="Times New Roman"/>
          <w:sz w:val="24"/>
          <w:szCs w:val="24"/>
        </w:rPr>
        <w:t xml:space="preserve"> The </w:t>
      </w:r>
      <w:r w:rsidR="004D6F09" w:rsidRPr="00EF782A">
        <w:rPr>
          <w:rFonts w:ascii="Times New Roman" w:hAnsi="Times New Roman" w:cs="Times New Roman"/>
          <w:i/>
          <w:sz w:val="24"/>
          <w:szCs w:val="24"/>
        </w:rPr>
        <w:t>Suplicación</w:t>
      </w:r>
      <w:r w:rsidR="004D6F09" w:rsidRPr="00EF782A">
        <w:rPr>
          <w:rFonts w:ascii="Times New Roman" w:hAnsi="Times New Roman" w:cs="Times New Roman"/>
          <w:sz w:val="24"/>
          <w:szCs w:val="24"/>
        </w:rPr>
        <w:t xml:space="preserve"> ends </w:t>
      </w:r>
      <w:r w:rsidR="00B835DB">
        <w:rPr>
          <w:rFonts w:ascii="Times New Roman" w:hAnsi="Times New Roman" w:cs="Times New Roman"/>
          <w:sz w:val="24"/>
          <w:szCs w:val="24"/>
        </w:rPr>
        <w:t xml:space="preserve">with the call </w:t>
      </w:r>
      <w:r w:rsidR="004D6F09" w:rsidRPr="00EF782A">
        <w:rPr>
          <w:rFonts w:ascii="Times New Roman" w:hAnsi="Times New Roman" w:cs="Times New Roman"/>
          <w:sz w:val="24"/>
          <w:szCs w:val="24"/>
        </w:rPr>
        <w:t xml:space="preserve">for Prince </w:t>
      </w:r>
      <w:r w:rsidR="00B835DB">
        <w:rPr>
          <w:rFonts w:ascii="Times New Roman" w:hAnsi="Times New Roman" w:cs="Times New Roman"/>
          <w:sz w:val="24"/>
          <w:szCs w:val="24"/>
        </w:rPr>
        <w:t>Enrique IV to go to Toledo and</w:t>
      </w:r>
      <w:r w:rsidR="004D6F09" w:rsidRPr="00EF782A">
        <w:rPr>
          <w:rFonts w:ascii="Times New Roman" w:hAnsi="Times New Roman" w:cs="Times New Roman"/>
          <w:sz w:val="24"/>
          <w:szCs w:val="24"/>
        </w:rPr>
        <w:t xml:space="preserve"> arbitrate the cessation of conflict. After reiterating once more that their grievance is not with the king’s own acts but with those done by Luna in his name, Sarmiento adds that should the king not change course</w:t>
      </w:r>
      <w:r w:rsidR="00B835DB">
        <w:rPr>
          <w:rFonts w:ascii="Times New Roman" w:hAnsi="Times New Roman" w:cs="Times New Roman"/>
          <w:sz w:val="24"/>
          <w:szCs w:val="24"/>
        </w:rPr>
        <w:t>,</w:t>
      </w:r>
      <w:r w:rsidR="004D6F09" w:rsidRPr="00EF782A">
        <w:rPr>
          <w:rFonts w:ascii="Times New Roman" w:hAnsi="Times New Roman" w:cs="Times New Roman"/>
          <w:sz w:val="24"/>
          <w:szCs w:val="24"/>
        </w:rPr>
        <w:t xml:space="preserve"> it would be </w:t>
      </w:r>
      <w:r w:rsidR="00B835DB">
        <w:rPr>
          <w:rFonts w:ascii="Times New Roman" w:hAnsi="Times New Roman" w:cs="Times New Roman"/>
          <w:sz w:val="24"/>
          <w:szCs w:val="24"/>
        </w:rPr>
        <w:t xml:space="preserve">taken as </w:t>
      </w:r>
      <w:r w:rsidR="004D6F09" w:rsidRPr="00EF782A">
        <w:rPr>
          <w:rFonts w:ascii="Times New Roman" w:hAnsi="Times New Roman" w:cs="Times New Roman"/>
          <w:sz w:val="24"/>
          <w:szCs w:val="24"/>
        </w:rPr>
        <w:t>a tacit abdicat</w:t>
      </w:r>
      <w:r w:rsidR="00B835DB">
        <w:rPr>
          <w:rFonts w:ascii="Times New Roman" w:hAnsi="Times New Roman" w:cs="Times New Roman"/>
          <w:sz w:val="24"/>
          <w:szCs w:val="24"/>
        </w:rPr>
        <w:t>ion of</w:t>
      </w:r>
      <w:r w:rsidR="004D6F09" w:rsidRPr="00EF782A">
        <w:rPr>
          <w:rFonts w:ascii="Times New Roman" w:hAnsi="Times New Roman" w:cs="Times New Roman"/>
          <w:sz w:val="24"/>
          <w:szCs w:val="24"/>
        </w:rPr>
        <w:t xml:space="preserve"> his authority and the task of defending Castilian Christendom would fall to Enrique.</w:t>
      </w:r>
      <w:r w:rsidR="004D6F09" w:rsidRPr="00EF782A">
        <w:rPr>
          <w:rStyle w:val="FootnoteReference"/>
          <w:rFonts w:ascii="Times New Roman" w:hAnsi="Times New Roman" w:cs="Times New Roman"/>
          <w:sz w:val="24"/>
          <w:szCs w:val="24"/>
        </w:rPr>
        <w:footnoteReference w:id="20"/>
      </w:r>
    </w:p>
    <w:p w14:paraId="111EFBF3" w14:textId="77777777" w:rsidR="00802E36" w:rsidRPr="00EF782A" w:rsidRDefault="004D6F09"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r>
      <w:r w:rsidR="00C31358" w:rsidRPr="00EF782A">
        <w:rPr>
          <w:rFonts w:ascii="Times New Roman" w:hAnsi="Times New Roman" w:cs="Times New Roman"/>
          <w:sz w:val="24"/>
          <w:szCs w:val="24"/>
        </w:rPr>
        <w:t xml:space="preserve">The enactment of the </w:t>
      </w:r>
      <w:r w:rsidR="00C31358" w:rsidRPr="00EF782A">
        <w:rPr>
          <w:rFonts w:ascii="Times New Roman" w:hAnsi="Times New Roman" w:cs="Times New Roman"/>
          <w:i/>
          <w:sz w:val="24"/>
          <w:szCs w:val="24"/>
        </w:rPr>
        <w:t>Sentencia-Estatuto</w:t>
      </w:r>
      <w:r w:rsidR="005202D4">
        <w:rPr>
          <w:rFonts w:ascii="Times New Roman" w:hAnsi="Times New Roman" w:cs="Times New Roman"/>
          <w:sz w:val="24"/>
          <w:szCs w:val="24"/>
        </w:rPr>
        <w:t xml:space="preserve"> would follow, after the retreat of the king and</w:t>
      </w:r>
      <w:r w:rsidR="003810CB" w:rsidRPr="00EF782A">
        <w:rPr>
          <w:rFonts w:ascii="Times New Roman" w:hAnsi="Times New Roman" w:cs="Times New Roman"/>
          <w:sz w:val="24"/>
          <w:szCs w:val="24"/>
        </w:rPr>
        <w:t xml:space="preserve"> while</w:t>
      </w:r>
      <w:r w:rsidR="00C31358" w:rsidRPr="00EF782A">
        <w:rPr>
          <w:rFonts w:ascii="Times New Roman" w:hAnsi="Times New Roman" w:cs="Times New Roman"/>
          <w:sz w:val="24"/>
          <w:szCs w:val="24"/>
        </w:rPr>
        <w:t xml:space="preserve"> </w:t>
      </w:r>
      <w:r w:rsidR="00870895" w:rsidRPr="00EF782A">
        <w:rPr>
          <w:rFonts w:ascii="Times New Roman" w:hAnsi="Times New Roman" w:cs="Times New Roman"/>
          <w:sz w:val="24"/>
          <w:szCs w:val="24"/>
        </w:rPr>
        <w:t>the rebels appeared to enjoy the prince’s support.</w:t>
      </w:r>
      <w:r w:rsidR="002C6C70" w:rsidRPr="00EF782A">
        <w:rPr>
          <w:rFonts w:ascii="Times New Roman" w:hAnsi="Times New Roman" w:cs="Times New Roman"/>
          <w:sz w:val="24"/>
          <w:szCs w:val="24"/>
        </w:rPr>
        <w:t xml:space="preserve"> It repeated the </w:t>
      </w:r>
      <w:r w:rsidR="004006D0" w:rsidRPr="00EF782A">
        <w:rPr>
          <w:rFonts w:ascii="Times New Roman" w:hAnsi="Times New Roman" w:cs="Times New Roman"/>
          <w:sz w:val="24"/>
          <w:szCs w:val="24"/>
        </w:rPr>
        <w:t>accusations of converso</w:t>
      </w:r>
      <w:r w:rsidR="002C6C70" w:rsidRPr="00EF782A">
        <w:rPr>
          <w:rFonts w:ascii="Times New Roman" w:hAnsi="Times New Roman" w:cs="Times New Roman"/>
          <w:sz w:val="24"/>
          <w:szCs w:val="24"/>
        </w:rPr>
        <w:t xml:space="preserve"> </w:t>
      </w:r>
      <w:r w:rsidR="004006D0" w:rsidRPr="00EF782A">
        <w:rPr>
          <w:rFonts w:ascii="Times New Roman" w:hAnsi="Times New Roman" w:cs="Times New Roman"/>
          <w:sz w:val="24"/>
          <w:szCs w:val="24"/>
        </w:rPr>
        <w:t xml:space="preserve">heresy </w:t>
      </w:r>
      <w:r w:rsidR="002C6C70" w:rsidRPr="00EF782A">
        <w:rPr>
          <w:rFonts w:ascii="Times New Roman" w:hAnsi="Times New Roman" w:cs="Times New Roman"/>
          <w:sz w:val="24"/>
          <w:szCs w:val="24"/>
        </w:rPr>
        <w:t xml:space="preserve">that appeared in the </w:t>
      </w:r>
      <w:r w:rsidR="002C6C70" w:rsidRPr="00EF782A">
        <w:rPr>
          <w:rFonts w:ascii="Times New Roman" w:hAnsi="Times New Roman" w:cs="Times New Roman"/>
          <w:i/>
          <w:sz w:val="24"/>
          <w:szCs w:val="24"/>
        </w:rPr>
        <w:t>Suplicación</w:t>
      </w:r>
      <w:r w:rsidR="002C6C70" w:rsidRPr="00EF782A">
        <w:rPr>
          <w:rFonts w:ascii="Times New Roman" w:hAnsi="Times New Roman" w:cs="Times New Roman"/>
          <w:sz w:val="24"/>
          <w:szCs w:val="24"/>
        </w:rPr>
        <w:t xml:space="preserve">. </w:t>
      </w:r>
      <w:r w:rsidR="004006D0" w:rsidRPr="00EF782A">
        <w:rPr>
          <w:rFonts w:ascii="Times New Roman" w:hAnsi="Times New Roman" w:cs="Times New Roman"/>
          <w:sz w:val="24"/>
          <w:szCs w:val="24"/>
        </w:rPr>
        <w:t xml:space="preserve">By casting doubts on the sincerity of their conversion, the rebels refused to exempt conversos from the restrictions in place against Jews. </w:t>
      </w:r>
      <w:r w:rsidR="002C6C70" w:rsidRPr="00EF782A">
        <w:rPr>
          <w:rFonts w:ascii="Times New Roman" w:hAnsi="Times New Roman" w:cs="Times New Roman"/>
          <w:sz w:val="24"/>
          <w:szCs w:val="24"/>
        </w:rPr>
        <w:t xml:space="preserve">Additionally, it </w:t>
      </w:r>
      <w:r w:rsidR="00FA57C6" w:rsidRPr="00EF782A">
        <w:rPr>
          <w:rFonts w:ascii="Times New Roman" w:hAnsi="Times New Roman" w:cs="Times New Roman"/>
          <w:sz w:val="24"/>
          <w:szCs w:val="24"/>
        </w:rPr>
        <w:t xml:space="preserve">invoked </w:t>
      </w:r>
      <w:r w:rsidR="005125BA" w:rsidRPr="00EF782A">
        <w:rPr>
          <w:rFonts w:ascii="Times New Roman" w:hAnsi="Times New Roman" w:cs="Times New Roman"/>
          <w:sz w:val="24"/>
          <w:szCs w:val="24"/>
        </w:rPr>
        <w:t>a</w:t>
      </w:r>
      <w:r w:rsidR="0073475D" w:rsidRPr="00EF782A">
        <w:rPr>
          <w:rFonts w:ascii="Times New Roman" w:hAnsi="Times New Roman" w:cs="Times New Roman"/>
          <w:sz w:val="24"/>
          <w:szCs w:val="24"/>
        </w:rPr>
        <w:t xml:space="preserve"> privilege granted to Toledo centuries earlier </w:t>
      </w:r>
      <w:r w:rsidR="005125BA" w:rsidRPr="00EF782A">
        <w:rPr>
          <w:rFonts w:ascii="Times New Roman" w:hAnsi="Times New Roman" w:cs="Times New Roman"/>
          <w:sz w:val="24"/>
          <w:szCs w:val="24"/>
        </w:rPr>
        <w:t>by King Al</w:t>
      </w:r>
      <w:r w:rsidR="00781A27" w:rsidRPr="00EF782A">
        <w:rPr>
          <w:rFonts w:ascii="Times New Roman" w:hAnsi="Times New Roman" w:cs="Times New Roman"/>
          <w:sz w:val="24"/>
          <w:szCs w:val="24"/>
        </w:rPr>
        <w:t>f</w:t>
      </w:r>
      <w:r w:rsidR="00B932A1" w:rsidRPr="00EF782A">
        <w:rPr>
          <w:rFonts w:ascii="Times New Roman" w:hAnsi="Times New Roman" w:cs="Times New Roman"/>
          <w:sz w:val="24"/>
          <w:szCs w:val="24"/>
        </w:rPr>
        <w:t>onso</w:t>
      </w:r>
      <w:r w:rsidR="00781A27" w:rsidRPr="00EF782A">
        <w:rPr>
          <w:rFonts w:ascii="Times New Roman" w:hAnsi="Times New Roman" w:cs="Times New Roman"/>
          <w:sz w:val="24"/>
          <w:szCs w:val="24"/>
        </w:rPr>
        <w:t xml:space="preserve"> </w:t>
      </w:r>
      <w:r w:rsidR="005125BA" w:rsidRPr="00EF782A">
        <w:rPr>
          <w:rFonts w:ascii="Times New Roman" w:hAnsi="Times New Roman" w:cs="Times New Roman"/>
          <w:sz w:val="24"/>
          <w:szCs w:val="24"/>
        </w:rPr>
        <w:t xml:space="preserve">as authorizing </w:t>
      </w:r>
      <w:r w:rsidR="00FA57C6" w:rsidRPr="00EF782A">
        <w:rPr>
          <w:rFonts w:ascii="Times New Roman" w:hAnsi="Times New Roman" w:cs="Times New Roman"/>
          <w:sz w:val="24"/>
          <w:szCs w:val="24"/>
        </w:rPr>
        <w:t>their ability to limit the rights of conversos</w:t>
      </w:r>
      <w:r w:rsidR="0073475D" w:rsidRPr="00EF782A">
        <w:rPr>
          <w:rFonts w:ascii="Times New Roman" w:hAnsi="Times New Roman" w:cs="Times New Roman"/>
          <w:sz w:val="24"/>
          <w:szCs w:val="24"/>
        </w:rPr>
        <w:t>.</w:t>
      </w:r>
      <w:r w:rsidR="006C7514" w:rsidRPr="00EF782A">
        <w:rPr>
          <w:rStyle w:val="FootnoteReference"/>
          <w:rFonts w:ascii="Times New Roman" w:hAnsi="Times New Roman" w:cs="Times New Roman"/>
          <w:sz w:val="24"/>
          <w:szCs w:val="24"/>
        </w:rPr>
        <w:footnoteReference w:id="21"/>
      </w:r>
      <w:r w:rsidR="0073475D" w:rsidRPr="00EF782A">
        <w:rPr>
          <w:rFonts w:ascii="Times New Roman" w:hAnsi="Times New Roman" w:cs="Times New Roman"/>
          <w:sz w:val="24"/>
          <w:szCs w:val="24"/>
        </w:rPr>
        <w:t xml:space="preserve"> Th</w:t>
      </w:r>
      <w:r w:rsidR="00A745F8" w:rsidRPr="00EF782A">
        <w:rPr>
          <w:rFonts w:ascii="Times New Roman" w:hAnsi="Times New Roman" w:cs="Times New Roman"/>
          <w:sz w:val="24"/>
          <w:szCs w:val="24"/>
        </w:rPr>
        <w:t>e difficulty of identifying this</w:t>
      </w:r>
      <w:r w:rsidR="00781A27" w:rsidRPr="00EF782A">
        <w:rPr>
          <w:rFonts w:ascii="Times New Roman" w:hAnsi="Times New Roman" w:cs="Times New Roman"/>
          <w:sz w:val="24"/>
          <w:szCs w:val="24"/>
        </w:rPr>
        <w:t xml:space="preserve"> earlier writ has been a source of frustration for historians, </w:t>
      </w:r>
      <w:r w:rsidR="00A745F8" w:rsidRPr="00EF782A">
        <w:rPr>
          <w:rFonts w:ascii="Times New Roman" w:hAnsi="Times New Roman" w:cs="Times New Roman"/>
          <w:sz w:val="24"/>
          <w:szCs w:val="24"/>
        </w:rPr>
        <w:t>some of whom have suggested it was entirely fabricated.</w:t>
      </w:r>
      <w:r w:rsidR="00A745F8" w:rsidRPr="00EF782A">
        <w:rPr>
          <w:rStyle w:val="FootnoteReference"/>
          <w:rFonts w:ascii="Times New Roman" w:hAnsi="Times New Roman" w:cs="Times New Roman"/>
          <w:sz w:val="24"/>
          <w:szCs w:val="24"/>
        </w:rPr>
        <w:footnoteReference w:id="22"/>
      </w:r>
      <w:r w:rsidR="005B309A" w:rsidRPr="00EF782A">
        <w:rPr>
          <w:rFonts w:ascii="Times New Roman" w:hAnsi="Times New Roman" w:cs="Times New Roman"/>
          <w:sz w:val="24"/>
          <w:szCs w:val="24"/>
        </w:rPr>
        <w:t xml:space="preserve"> </w:t>
      </w:r>
      <w:r w:rsidR="00147403" w:rsidRPr="00EF782A">
        <w:rPr>
          <w:rFonts w:ascii="Times New Roman" w:hAnsi="Times New Roman" w:cs="Times New Roman"/>
          <w:sz w:val="24"/>
          <w:szCs w:val="24"/>
        </w:rPr>
        <w:t xml:space="preserve">The </w:t>
      </w:r>
      <w:r w:rsidR="00247F79" w:rsidRPr="00EF782A">
        <w:rPr>
          <w:rFonts w:ascii="Times New Roman" w:hAnsi="Times New Roman" w:cs="Times New Roman"/>
          <w:sz w:val="24"/>
          <w:szCs w:val="24"/>
        </w:rPr>
        <w:t>most recent scholarship</w:t>
      </w:r>
      <w:r w:rsidR="00147403" w:rsidRPr="00EF782A">
        <w:rPr>
          <w:rFonts w:ascii="Times New Roman" w:hAnsi="Times New Roman" w:cs="Times New Roman"/>
          <w:sz w:val="24"/>
          <w:szCs w:val="24"/>
        </w:rPr>
        <w:t xml:space="preserve"> by</w:t>
      </w:r>
      <w:r w:rsidR="00247F79" w:rsidRPr="00EF782A">
        <w:rPr>
          <w:rFonts w:ascii="Times New Roman" w:hAnsi="Times New Roman" w:cs="Times New Roman"/>
          <w:sz w:val="24"/>
          <w:szCs w:val="24"/>
        </w:rPr>
        <w:t xml:space="preserve"> </w:t>
      </w:r>
      <w:r w:rsidR="00147403" w:rsidRPr="00EF782A">
        <w:rPr>
          <w:rFonts w:ascii="Times New Roman" w:hAnsi="Times New Roman" w:cs="Times New Roman"/>
          <w:sz w:val="24"/>
          <w:szCs w:val="24"/>
        </w:rPr>
        <w:t>Tomas Gonzalez Rolan and Pilar Saquero Suarez-Somonte</w:t>
      </w:r>
      <w:r w:rsidR="00975C18" w:rsidRPr="00EF782A">
        <w:rPr>
          <w:rFonts w:ascii="Times New Roman" w:hAnsi="Times New Roman" w:cs="Times New Roman"/>
          <w:sz w:val="24"/>
          <w:szCs w:val="24"/>
        </w:rPr>
        <w:t xml:space="preserve"> concurs with Netanyahu in</w:t>
      </w:r>
      <w:r w:rsidR="00147403" w:rsidRPr="00EF782A">
        <w:rPr>
          <w:rFonts w:ascii="Times New Roman" w:hAnsi="Times New Roman" w:cs="Times New Roman"/>
          <w:sz w:val="24"/>
          <w:szCs w:val="24"/>
        </w:rPr>
        <w:t xml:space="preserve"> </w:t>
      </w:r>
      <w:r w:rsidR="00975C18" w:rsidRPr="00EF782A">
        <w:rPr>
          <w:rFonts w:ascii="Times New Roman" w:hAnsi="Times New Roman" w:cs="Times New Roman"/>
          <w:sz w:val="24"/>
          <w:szCs w:val="24"/>
        </w:rPr>
        <w:t>pointing</w:t>
      </w:r>
      <w:r w:rsidR="00247F79" w:rsidRPr="00EF782A">
        <w:rPr>
          <w:rFonts w:ascii="Times New Roman" w:hAnsi="Times New Roman" w:cs="Times New Roman"/>
          <w:sz w:val="24"/>
          <w:szCs w:val="24"/>
        </w:rPr>
        <w:t xml:space="preserve"> to </w:t>
      </w:r>
      <w:r w:rsidR="00D62843" w:rsidRPr="00EF782A">
        <w:rPr>
          <w:rFonts w:ascii="Times New Roman" w:hAnsi="Times New Roman" w:cs="Times New Roman"/>
          <w:sz w:val="24"/>
          <w:szCs w:val="24"/>
        </w:rPr>
        <w:t>a privilege granted by Alfonso VII in 1118.</w:t>
      </w:r>
      <w:r w:rsidR="00C21397" w:rsidRPr="00EF782A">
        <w:rPr>
          <w:rStyle w:val="FootnoteReference"/>
          <w:rFonts w:ascii="Times New Roman" w:hAnsi="Times New Roman" w:cs="Times New Roman"/>
          <w:sz w:val="24"/>
          <w:szCs w:val="24"/>
        </w:rPr>
        <w:footnoteReference w:id="23"/>
      </w:r>
      <w:r w:rsidR="004006D0" w:rsidRPr="00EF782A">
        <w:rPr>
          <w:rFonts w:ascii="Times New Roman" w:hAnsi="Times New Roman" w:cs="Times New Roman"/>
          <w:sz w:val="24"/>
          <w:szCs w:val="24"/>
        </w:rPr>
        <w:t xml:space="preserve"> </w:t>
      </w:r>
      <w:r w:rsidR="00131003" w:rsidRPr="00EF782A">
        <w:rPr>
          <w:rFonts w:ascii="Times New Roman" w:hAnsi="Times New Roman" w:cs="Times New Roman"/>
          <w:sz w:val="24"/>
          <w:szCs w:val="24"/>
        </w:rPr>
        <w:t xml:space="preserve">It states that </w:t>
      </w:r>
      <w:r w:rsidR="00131003" w:rsidRPr="00EF782A">
        <w:rPr>
          <w:rFonts w:ascii="Times New Roman" w:hAnsi="Times New Roman" w:cs="Times New Roman"/>
          <w:sz w:val="24"/>
          <w:szCs w:val="24"/>
        </w:rPr>
        <w:lastRenderedPageBreak/>
        <w:t>no Jew nor recent convert to Christianity should hold command over a Christian.</w:t>
      </w:r>
      <w:r w:rsidR="00131003" w:rsidRPr="00EF782A">
        <w:rPr>
          <w:rStyle w:val="FootnoteReference"/>
          <w:rFonts w:ascii="Times New Roman" w:hAnsi="Times New Roman" w:cs="Times New Roman"/>
          <w:sz w:val="24"/>
          <w:szCs w:val="24"/>
        </w:rPr>
        <w:footnoteReference w:id="24"/>
      </w:r>
      <w:r w:rsidR="00131003" w:rsidRPr="00EF782A">
        <w:rPr>
          <w:rFonts w:ascii="Times New Roman" w:hAnsi="Times New Roman" w:cs="Times New Roman"/>
          <w:sz w:val="24"/>
          <w:szCs w:val="24"/>
        </w:rPr>
        <w:t xml:space="preserve"> </w:t>
      </w:r>
      <w:r w:rsidR="00043977" w:rsidRPr="00EF782A">
        <w:rPr>
          <w:rFonts w:ascii="Times New Roman" w:hAnsi="Times New Roman" w:cs="Times New Roman"/>
          <w:sz w:val="24"/>
          <w:szCs w:val="24"/>
        </w:rPr>
        <w:t xml:space="preserve">Netanyahu </w:t>
      </w:r>
      <w:r w:rsidR="0008120F" w:rsidRPr="00EF782A">
        <w:rPr>
          <w:rFonts w:ascii="Times New Roman" w:hAnsi="Times New Roman" w:cs="Times New Roman"/>
          <w:sz w:val="24"/>
          <w:szCs w:val="24"/>
        </w:rPr>
        <w:t xml:space="preserve">dismisses </w:t>
      </w:r>
      <w:r w:rsidR="00E76B07" w:rsidRPr="00EF782A">
        <w:rPr>
          <w:rFonts w:ascii="Times New Roman" w:hAnsi="Times New Roman" w:cs="Times New Roman"/>
          <w:sz w:val="24"/>
          <w:szCs w:val="24"/>
        </w:rPr>
        <w:t>the potential precedent it sets by noting</w:t>
      </w:r>
      <w:r w:rsidR="00820BFA" w:rsidRPr="00EF782A">
        <w:rPr>
          <w:rFonts w:ascii="Times New Roman" w:hAnsi="Times New Roman" w:cs="Times New Roman"/>
          <w:sz w:val="24"/>
          <w:szCs w:val="24"/>
        </w:rPr>
        <w:t xml:space="preserve"> it had been superseded by </w:t>
      </w:r>
      <w:r w:rsidR="005202D4">
        <w:rPr>
          <w:rFonts w:ascii="Times New Roman" w:hAnsi="Times New Roman" w:cs="Times New Roman"/>
          <w:sz w:val="24"/>
          <w:szCs w:val="24"/>
        </w:rPr>
        <w:t xml:space="preserve">centuries of </w:t>
      </w:r>
      <w:r w:rsidR="00820BFA" w:rsidRPr="00EF782A">
        <w:rPr>
          <w:rFonts w:ascii="Times New Roman" w:hAnsi="Times New Roman" w:cs="Times New Roman"/>
          <w:sz w:val="24"/>
          <w:szCs w:val="24"/>
        </w:rPr>
        <w:t>subsequent legislation dealing with the rights of conversos.</w:t>
      </w:r>
      <w:r w:rsidR="00820BFA" w:rsidRPr="00EF782A">
        <w:rPr>
          <w:rStyle w:val="FootnoteReference"/>
          <w:rFonts w:ascii="Times New Roman" w:hAnsi="Times New Roman" w:cs="Times New Roman"/>
          <w:sz w:val="24"/>
          <w:szCs w:val="24"/>
        </w:rPr>
        <w:footnoteReference w:id="25"/>
      </w:r>
      <w:r w:rsidR="00820BFA" w:rsidRPr="00EF782A">
        <w:rPr>
          <w:rFonts w:ascii="Times New Roman" w:hAnsi="Times New Roman" w:cs="Times New Roman"/>
          <w:sz w:val="24"/>
          <w:szCs w:val="24"/>
        </w:rPr>
        <w:t xml:space="preserve"> Gonzalez Rolan and Saquero Suarez-Somonte </w:t>
      </w:r>
      <w:r w:rsidR="00AA0281" w:rsidRPr="00EF782A">
        <w:rPr>
          <w:rFonts w:ascii="Times New Roman" w:hAnsi="Times New Roman" w:cs="Times New Roman"/>
          <w:sz w:val="24"/>
          <w:szCs w:val="24"/>
        </w:rPr>
        <w:t>take the fact</w:t>
      </w:r>
      <w:r w:rsidR="00820BFA" w:rsidRPr="00EF782A">
        <w:rPr>
          <w:rFonts w:ascii="Times New Roman" w:hAnsi="Times New Roman" w:cs="Times New Roman"/>
          <w:sz w:val="24"/>
          <w:szCs w:val="24"/>
        </w:rPr>
        <w:t xml:space="preserve"> that</w:t>
      </w:r>
      <w:r w:rsidR="00E76B07" w:rsidRPr="00EF782A">
        <w:rPr>
          <w:rFonts w:ascii="Times New Roman" w:hAnsi="Times New Roman" w:cs="Times New Roman"/>
          <w:sz w:val="24"/>
          <w:szCs w:val="24"/>
        </w:rPr>
        <w:t xml:space="preserve"> none of </w:t>
      </w:r>
      <w:r w:rsidR="005202D4">
        <w:rPr>
          <w:rFonts w:ascii="Times New Roman" w:hAnsi="Times New Roman" w:cs="Times New Roman"/>
          <w:sz w:val="24"/>
          <w:szCs w:val="24"/>
        </w:rPr>
        <w:t>Sarmiento and Mora’s</w:t>
      </w:r>
      <w:r w:rsidR="00E76B07" w:rsidRPr="00EF782A">
        <w:rPr>
          <w:rFonts w:ascii="Times New Roman" w:hAnsi="Times New Roman" w:cs="Times New Roman"/>
          <w:sz w:val="24"/>
          <w:szCs w:val="24"/>
        </w:rPr>
        <w:t xml:space="preserve"> interlocutors</w:t>
      </w:r>
      <w:r w:rsidR="00AA0281" w:rsidRPr="00EF782A">
        <w:rPr>
          <w:rFonts w:ascii="Times New Roman" w:hAnsi="Times New Roman" w:cs="Times New Roman"/>
          <w:sz w:val="24"/>
          <w:szCs w:val="24"/>
        </w:rPr>
        <w:t xml:space="preserve"> even</w:t>
      </w:r>
      <w:r w:rsidR="00E76B07" w:rsidRPr="00EF782A">
        <w:rPr>
          <w:rFonts w:ascii="Times New Roman" w:hAnsi="Times New Roman" w:cs="Times New Roman"/>
          <w:sz w:val="24"/>
          <w:szCs w:val="24"/>
        </w:rPr>
        <w:t xml:space="preserve"> </w:t>
      </w:r>
      <w:r w:rsidR="00AA0281" w:rsidRPr="00EF782A">
        <w:rPr>
          <w:rFonts w:ascii="Times New Roman" w:hAnsi="Times New Roman" w:cs="Times New Roman"/>
          <w:sz w:val="24"/>
          <w:szCs w:val="24"/>
        </w:rPr>
        <w:t>bothered to</w:t>
      </w:r>
      <w:r w:rsidR="00F20449" w:rsidRPr="00EF782A">
        <w:rPr>
          <w:rFonts w:ascii="Times New Roman" w:hAnsi="Times New Roman" w:cs="Times New Roman"/>
          <w:sz w:val="24"/>
          <w:szCs w:val="24"/>
        </w:rPr>
        <w:t xml:space="preserve"> engage with </w:t>
      </w:r>
      <w:r w:rsidR="005202D4">
        <w:rPr>
          <w:rFonts w:ascii="Times New Roman" w:hAnsi="Times New Roman" w:cs="Times New Roman"/>
          <w:sz w:val="24"/>
          <w:szCs w:val="24"/>
        </w:rPr>
        <w:t>them</w:t>
      </w:r>
      <w:r w:rsidR="00B74FA3" w:rsidRPr="00EF782A">
        <w:rPr>
          <w:rFonts w:ascii="Times New Roman" w:hAnsi="Times New Roman" w:cs="Times New Roman"/>
          <w:sz w:val="24"/>
          <w:szCs w:val="24"/>
        </w:rPr>
        <w:t xml:space="preserve"> on this issue </w:t>
      </w:r>
      <w:r w:rsidR="006474CE" w:rsidRPr="00EF782A">
        <w:rPr>
          <w:rFonts w:ascii="Times New Roman" w:hAnsi="Times New Roman" w:cs="Times New Roman"/>
          <w:sz w:val="24"/>
          <w:szCs w:val="24"/>
        </w:rPr>
        <w:t xml:space="preserve">as an indication that it did not </w:t>
      </w:r>
      <w:r w:rsidR="00E71F4A" w:rsidRPr="00EF782A">
        <w:rPr>
          <w:rFonts w:ascii="Times New Roman" w:hAnsi="Times New Roman" w:cs="Times New Roman"/>
          <w:sz w:val="24"/>
          <w:szCs w:val="24"/>
        </w:rPr>
        <w:t>pose a challenge worth responding to.</w:t>
      </w:r>
      <w:r w:rsidR="00C02469" w:rsidRPr="00EF782A">
        <w:rPr>
          <w:rStyle w:val="FootnoteReference"/>
          <w:rFonts w:ascii="Times New Roman" w:hAnsi="Times New Roman" w:cs="Times New Roman"/>
          <w:sz w:val="24"/>
          <w:szCs w:val="24"/>
        </w:rPr>
        <w:footnoteReference w:id="26"/>
      </w:r>
    </w:p>
    <w:p w14:paraId="6CB44BED" w14:textId="77777777" w:rsidR="005202D4" w:rsidRDefault="008559EB"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Setting aside the question of its legal standing, </w:t>
      </w:r>
      <w:r w:rsidR="00BA6268" w:rsidRPr="00EF782A">
        <w:rPr>
          <w:rFonts w:ascii="Times New Roman" w:hAnsi="Times New Roman" w:cs="Times New Roman"/>
          <w:sz w:val="24"/>
          <w:szCs w:val="24"/>
        </w:rPr>
        <w:t xml:space="preserve">the privilege </w:t>
      </w:r>
      <w:r w:rsidR="00A67BE7" w:rsidRPr="00EF782A">
        <w:rPr>
          <w:rFonts w:ascii="Times New Roman" w:hAnsi="Times New Roman" w:cs="Times New Roman"/>
          <w:sz w:val="24"/>
          <w:szCs w:val="24"/>
        </w:rPr>
        <w:t xml:space="preserve">bears a crucial difference from the </w:t>
      </w:r>
      <w:r w:rsidR="00A67BE7" w:rsidRPr="00EF782A">
        <w:rPr>
          <w:rFonts w:ascii="Times New Roman" w:hAnsi="Times New Roman" w:cs="Times New Roman"/>
          <w:i/>
          <w:sz w:val="24"/>
          <w:szCs w:val="24"/>
        </w:rPr>
        <w:t>Sentencia-Estatuto</w:t>
      </w:r>
      <w:r w:rsidR="00A67BE7" w:rsidRPr="00EF782A">
        <w:rPr>
          <w:rFonts w:ascii="Times New Roman" w:hAnsi="Times New Roman" w:cs="Times New Roman"/>
          <w:sz w:val="24"/>
          <w:szCs w:val="24"/>
        </w:rPr>
        <w:t xml:space="preserve"> it </w:t>
      </w:r>
      <w:r w:rsidR="00737946" w:rsidRPr="00EF782A">
        <w:rPr>
          <w:rFonts w:ascii="Times New Roman" w:hAnsi="Times New Roman" w:cs="Times New Roman"/>
          <w:sz w:val="24"/>
          <w:szCs w:val="24"/>
        </w:rPr>
        <w:t xml:space="preserve">was invoked as precedent for. While the </w:t>
      </w:r>
      <w:r w:rsidR="00737946" w:rsidRPr="00EF782A">
        <w:rPr>
          <w:rFonts w:ascii="Times New Roman" w:hAnsi="Times New Roman" w:cs="Times New Roman"/>
          <w:i/>
          <w:sz w:val="24"/>
          <w:szCs w:val="24"/>
        </w:rPr>
        <w:t>Sentencia-Estatuto</w:t>
      </w:r>
      <w:r w:rsidR="00737946" w:rsidRPr="00EF782A">
        <w:rPr>
          <w:rFonts w:ascii="Times New Roman" w:hAnsi="Times New Roman" w:cs="Times New Roman"/>
          <w:sz w:val="24"/>
          <w:szCs w:val="24"/>
        </w:rPr>
        <w:t xml:space="preserve"> </w:t>
      </w:r>
      <w:r w:rsidR="00802E36" w:rsidRPr="00EF782A">
        <w:rPr>
          <w:rFonts w:ascii="Times New Roman" w:hAnsi="Times New Roman" w:cs="Times New Roman"/>
          <w:sz w:val="24"/>
          <w:szCs w:val="24"/>
        </w:rPr>
        <w:t>targeted conversos</w:t>
      </w:r>
      <w:r w:rsidR="005202D4">
        <w:rPr>
          <w:rFonts w:ascii="Times New Roman" w:hAnsi="Times New Roman" w:cs="Times New Roman"/>
          <w:sz w:val="24"/>
          <w:szCs w:val="24"/>
        </w:rPr>
        <w:t>, defined</w:t>
      </w:r>
      <w:r w:rsidR="00802E36" w:rsidRPr="00EF782A">
        <w:rPr>
          <w:rFonts w:ascii="Times New Roman" w:hAnsi="Times New Roman" w:cs="Times New Roman"/>
          <w:sz w:val="24"/>
          <w:szCs w:val="24"/>
        </w:rPr>
        <w:t xml:space="preserve"> as anyone who was found to be of Jewish lineage, the privilege was restricted to Jews and </w:t>
      </w:r>
      <w:r w:rsidR="00802E36" w:rsidRPr="00EF782A">
        <w:rPr>
          <w:rFonts w:ascii="Times New Roman" w:hAnsi="Times New Roman" w:cs="Times New Roman"/>
          <w:i/>
          <w:sz w:val="24"/>
          <w:szCs w:val="24"/>
        </w:rPr>
        <w:t>recent</w:t>
      </w:r>
      <w:r w:rsidR="00802E36" w:rsidRPr="00EF782A">
        <w:rPr>
          <w:rFonts w:ascii="Times New Roman" w:hAnsi="Times New Roman" w:cs="Times New Roman"/>
          <w:sz w:val="24"/>
          <w:szCs w:val="24"/>
        </w:rPr>
        <w:t xml:space="preserve"> converts (</w:t>
      </w:r>
      <w:r w:rsidR="00802E36" w:rsidRPr="00EF782A">
        <w:rPr>
          <w:rFonts w:ascii="Times New Roman" w:hAnsi="Times New Roman" w:cs="Times New Roman"/>
          <w:i/>
          <w:sz w:val="24"/>
          <w:szCs w:val="24"/>
        </w:rPr>
        <w:t>nullus iudeus nullus nuper renatus</w:t>
      </w:r>
      <w:r w:rsidR="00802E36" w:rsidRPr="00EF782A">
        <w:rPr>
          <w:rFonts w:ascii="Times New Roman" w:hAnsi="Times New Roman" w:cs="Times New Roman"/>
          <w:sz w:val="24"/>
          <w:szCs w:val="24"/>
        </w:rPr>
        <w:t xml:space="preserve">). </w:t>
      </w:r>
      <w:r w:rsidR="00FF5D97" w:rsidRPr="00EF782A">
        <w:rPr>
          <w:rFonts w:ascii="Times New Roman" w:hAnsi="Times New Roman" w:cs="Times New Roman"/>
          <w:sz w:val="24"/>
          <w:szCs w:val="24"/>
        </w:rPr>
        <w:t xml:space="preserve">The innovation the </w:t>
      </w:r>
      <w:r w:rsidR="00FF5D97" w:rsidRPr="00EF782A">
        <w:rPr>
          <w:rFonts w:ascii="Times New Roman" w:hAnsi="Times New Roman" w:cs="Times New Roman"/>
          <w:i/>
          <w:sz w:val="24"/>
          <w:szCs w:val="24"/>
        </w:rPr>
        <w:t>Sentencia-Estatuto</w:t>
      </w:r>
      <w:r w:rsidR="00FF5D97" w:rsidRPr="00EF782A">
        <w:rPr>
          <w:rFonts w:ascii="Times New Roman" w:hAnsi="Times New Roman" w:cs="Times New Roman"/>
          <w:sz w:val="24"/>
          <w:szCs w:val="24"/>
        </w:rPr>
        <w:t xml:space="preserve"> presents and which is of primary interest here is the way it structures access to the holding of a variety of public offices. </w:t>
      </w:r>
      <w:r w:rsidR="00802E36" w:rsidRPr="00EF782A">
        <w:rPr>
          <w:rFonts w:ascii="Times New Roman" w:hAnsi="Times New Roman" w:cs="Times New Roman"/>
          <w:sz w:val="24"/>
          <w:szCs w:val="24"/>
        </w:rPr>
        <w:t>Both Castilian law and Church doctrine provided some precedent for withholding certain offices or privileges from individuals who had recently converted or whose faith was called into question by accusations of heresy.</w:t>
      </w:r>
      <w:r w:rsidR="00802E36" w:rsidRPr="00EF782A">
        <w:rPr>
          <w:rFonts w:ascii="Times New Roman" w:hAnsi="Times New Roman" w:cs="Times New Roman"/>
          <w:sz w:val="24"/>
          <w:szCs w:val="24"/>
          <w:vertAlign w:val="superscript"/>
        </w:rPr>
        <w:footnoteReference w:id="27"/>
      </w:r>
      <w:r w:rsidR="00802E36" w:rsidRPr="00EF782A">
        <w:rPr>
          <w:rFonts w:ascii="Times New Roman" w:hAnsi="Times New Roman" w:cs="Times New Roman"/>
          <w:sz w:val="24"/>
          <w:szCs w:val="24"/>
        </w:rPr>
        <w:t xml:space="preserve"> The practice of having a “trial period” after conversion but before one was allowed to enjoy all of the privileges of being a Christian subject</w:t>
      </w:r>
      <w:r w:rsidR="005202D4">
        <w:rPr>
          <w:rFonts w:ascii="Times New Roman" w:hAnsi="Times New Roman" w:cs="Times New Roman"/>
          <w:sz w:val="24"/>
          <w:szCs w:val="24"/>
        </w:rPr>
        <w:t xml:space="preserve"> was well established;</w:t>
      </w:r>
      <w:r w:rsidR="00802E36" w:rsidRPr="00EF782A">
        <w:rPr>
          <w:rFonts w:ascii="Times New Roman" w:hAnsi="Times New Roman" w:cs="Times New Roman"/>
          <w:sz w:val="24"/>
          <w:szCs w:val="24"/>
        </w:rPr>
        <w:t xml:space="preserve"> although the highly variable way in which it was implemented (some individuals being subject to restrictions for years while others were appointed almost immediately into high offices) indicates that was in some cases wielded as a tool of political manipulation.</w:t>
      </w:r>
      <w:r w:rsidR="00802E36" w:rsidRPr="00EF782A">
        <w:rPr>
          <w:rFonts w:ascii="Times New Roman" w:hAnsi="Times New Roman" w:cs="Times New Roman"/>
          <w:sz w:val="24"/>
          <w:szCs w:val="24"/>
          <w:vertAlign w:val="superscript"/>
        </w:rPr>
        <w:footnoteReference w:id="28"/>
      </w:r>
    </w:p>
    <w:p w14:paraId="5BD1BB35" w14:textId="77777777" w:rsidR="0073475D" w:rsidRDefault="00802E36"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lastRenderedPageBreak/>
        <w:t xml:space="preserve">However,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presents a qualitative shift from both those earlier policies as well as the privilege granted by Al</w:t>
      </w:r>
      <w:r w:rsidR="005202D4">
        <w:rPr>
          <w:rFonts w:ascii="Times New Roman" w:hAnsi="Times New Roman" w:cs="Times New Roman"/>
          <w:sz w:val="24"/>
          <w:szCs w:val="24"/>
        </w:rPr>
        <w:t>f</w:t>
      </w:r>
      <w:r w:rsidRPr="00EF782A">
        <w:rPr>
          <w:rFonts w:ascii="Times New Roman" w:hAnsi="Times New Roman" w:cs="Times New Roman"/>
          <w:sz w:val="24"/>
          <w:szCs w:val="24"/>
        </w:rPr>
        <w:t>onso VII</w:t>
      </w:r>
      <w:r w:rsidR="00D068A4" w:rsidRPr="00EF782A">
        <w:rPr>
          <w:rFonts w:ascii="Times New Roman" w:hAnsi="Times New Roman" w:cs="Times New Roman"/>
          <w:sz w:val="24"/>
          <w:szCs w:val="24"/>
        </w:rPr>
        <w:t xml:space="preserve">. </w:t>
      </w:r>
      <w:r w:rsidRPr="00EF782A">
        <w:rPr>
          <w:rFonts w:ascii="Times New Roman" w:hAnsi="Times New Roman" w:cs="Times New Roman"/>
          <w:sz w:val="24"/>
          <w:szCs w:val="24"/>
        </w:rPr>
        <w:t xml:space="preserve">Doubts about one’s religious commitment after conversion could be drawn out a great deal, but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pushed the limits of this suspicion to its breaking point by legally codifying this doubt. By refusing to extend full Christian privileges to all those who were descendants from Jews or conversos in perpetuity it burst asunder the epistemological limits under which religious exclusion could be legitimated. Conversion as a way of mediating between forms of difference broke down, ossifying the boundary between Christians and anyone of Jewish, and later Muslim, descent.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seeps out beyond the boundaries of the religious episteme, it</w:t>
      </w:r>
      <w:r w:rsidR="00433012" w:rsidRPr="00EF782A">
        <w:rPr>
          <w:rFonts w:ascii="Times New Roman" w:hAnsi="Times New Roman" w:cs="Times New Roman"/>
          <w:sz w:val="24"/>
          <w:szCs w:val="24"/>
        </w:rPr>
        <w:t xml:space="preserve"> is an excess that inaugurates the possibility for a</w:t>
      </w:r>
      <w:r w:rsidRPr="00EF782A">
        <w:rPr>
          <w:rFonts w:ascii="Times New Roman" w:hAnsi="Times New Roman" w:cs="Times New Roman"/>
          <w:sz w:val="24"/>
          <w:szCs w:val="24"/>
        </w:rPr>
        <w:t xml:space="preserve"> new, racial mode of thinking.</w:t>
      </w:r>
    </w:p>
    <w:p w14:paraId="1807C0B0" w14:textId="77777777" w:rsidR="00254FE7" w:rsidRDefault="00254FE7" w:rsidP="00254FE7">
      <w:pPr>
        <w:spacing w:after="0" w:line="480" w:lineRule="auto"/>
        <w:rPr>
          <w:rFonts w:ascii="Times New Roman" w:hAnsi="Times New Roman" w:cs="Times New Roman"/>
          <w:sz w:val="24"/>
          <w:szCs w:val="24"/>
        </w:rPr>
      </w:pPr>
    </w:p>
    <w:p w14:paraId="7C77F102" w14:textId="77777777" w:rsidR="00254FE7" w:rsidRPr="00254FE7" w:rsidRDefault="007248B9" w:rsidP="00254FE7">
      <w:pPr>
        <w:spacing w:after="0" w:line="480" w:lineRule="auto"/>
        <w:rPr>
          <w:rFonts w:ascii="Times New Roman" w:hAnsi="Times New Roman" w:cs="Times New Roman"/>
          <w:b/>
          <w:sz w:val="24"/>
          <w:szCs w:val="24"/>
        </w:rPr>
      </w:pPr>
      <w:r>
        <w:rPr>
          <w:rFonts w:ascii="Times New Roman" w:hAnsi="Times New Roman" w:cs="Times New Roman"/>
          <w:b/>
          <w:sz w:val="24"/>
          <w:szCs w:val="24"/>
        </w:rPr>
        <w:t>Continuity and Difference</w:t>
      </w:r>
    </w:p>
    <w:p w14:paraId="2065C819" w14:textId="77777777" w:rsidR="00FF5D97" w:rsidRPr="00EF782A" w:rsidRDefault="00A00FE4"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r>
      <w:r w:rsidR="009F72B2" w:rsidRPr="00EF782A">
        <w:rPr>
          <w:rFonts w:ascii="Times New Roman" w:hAnsi="Times New Roman" w:cs="Times New Roman"/>
          <w:sz w:val="24"/>
          <w:szCs w:val="24"/>
        </w:rPr>
        <w:t xml:space="preserve">Two dimensions of </w:t>
      </w:r>
      <w:r w:rsidR="00C026CC" w:rsidRPr="00EF782A">
        <w:rPr>
          <w:rFonts w:ascii="Times New Roman" w:hAnsi="Times New Roman" w:cs="Times New Roman"/>
          <w:sz w:val="24"/>
          <w:szCs w:val="24"/>
        </w:rPr>
        <w:t xml:space="preserve">the term race must be distinguished in order to </w:t>
      </w:r>
      <w:r w:rsidR="00B60C08" w:rsidRPr="00EF782A">
        <w:rPr>
          <w:rFonts w:ascii="Times New Roman" w:hAnsi="Times New Roman" w:cs="Times New Roman"/>
          <w:sz w:val="24"/>
          <w:szCs w:val="24"/>
        </w:rPr>
        <w:t>explain</w:t>
      </w:r>
      <w:r w:rsidR="00C026CC" w:rsidRPr="00EF782A">
        <w:rPr>
          <w:rFonts w:ascii="Times New Roman" w:hAnsi="Times New Roman" w:cs="Times New Roman"/>
          <w:sz w:val="24"/>
          <w:szCs w:val="24"/>
        </w:rPr>
        <w:t xml:space="preserve"> </w:t>
      </w:r>
      <w:r w:rsidR="00B60C08" w:rsidRPr="00EF782A">
        <w:rPr>
          <w:rFonts w:ascii="Times New Roman" w:hAnsi="Times New Roman" w:cs="Times New Roman"/>
          <w:sz w:val="24"/>
          <w:szCs w:val="24"/>
        </w:rPr>
        <w:t>this shift: race as a particular episteme</w:t>
      </w:r>
      <w:r w:rsidR="00B60C08" w:rsidRPr="00EF782A">
        <w:rPr>
          <w:rFonts w:ascii="Times New Roman" w:hAnsi="Times New Roman" w:cs="Times New Roman"/>
          <w:sz w:val="24"/>
          <w:szCs w:val="24"/>
          <w:vertAlign w:val="superscript"/>
        </w:rPr>
        <w:footnoteReference w:id="29"/>
      </w:r>
      <w:r w:rsidR="00B60C08" w:rsidRPr="00EF782A">
        <w:rPr>
          <w:rFonts w:ascii="Times New Roman" w:hAnsi="Times New Roman" w:cs="Times New Roman"/>
          <w:sz w:val="24"/>
          <w:szCs w:val="24"/>
        </w:rPr>
        <w:t xml:space="preserve"> and race as a definite set of social relations. </w:t>
      </w:r>
      <w:r w:rsidR="00286BA2" w:rsidRPr="00EF782A">
        <w:rPr>
          <w:rFonts w:ascii="Times New Roman" w:hAnsi="Times New Roman" w:cs="Times New Roman"/>
          <w:sz w:val="24"/>
          <w:szCs w:val="24"/>
        </w:rPr>
        <w:t>As an episteme, it stands for a total set of beliefs</w:t>
      </w:r>
      <w:r w:rsidR="00EB1D43" w:rsidRPr="00EF782A">
        <w:rPr>
          <w:rFonts w:ascii="Times New Roman" w:hAnsi="Times New Roman" w:cs="Times New Roman"/>
          <w:sz w:val="24"/>
          <w:szCs w:val="24"/>
        </w:rPr>
        <w:t>, claims,</w:t>
      </w:r>
      <w:r w:rsidR="00286BA2" w:rsidRPr="00EF782A">
        <w:rPr>
          <w:rFonts w:ascii="Times New Roman" w:hAnsi="Times New Roman" w:cs="Times New Roman"/>
          <w:sz w:val="24"/>
          <w:szCs w:val="24"/>
        </w:rPr>
        <w:t xml:space="preserve"> and knowledges which make up “a specific system of symbolic representation and mode of subjective understanding”.</w:t>
      </w:r>
      <w:r w:rsidR="00286BA2" w:rsidRPr="00EF782A">
        <w:rPr>
          <w:rStyle w:val="FootnoteReference"/>
          <w:rFonts w:ascii="Times New Roman" w:hAnsi="Times New Roman" w:cs="Times New Roman"/>
          <w:sz w:val="24"/>
          <w:szCs w:val="24"/>
        </w:rPr>
        <w:footnoteReference w:id="30"/>
      </w:r>
      <w:r w:rsidR="00FF5D97" w:rsidRPr="00EF782A">
        <w:rPr>
          <w:rFonts w:ascii="Times New Roman" w:hAnsi="Times New Roman" w:cs="Times New Roman"/>
          <w:sz w:val="24"/>
          <w:szCs w:val="24"/>
        </w:rPr>
        <w:t xml:space="preserve"> As a definite set of social relations it includes the legal structures which authorize the rules about the extension of particular rights and responsibilities. The pervasiveness of hierarchies within social relations and their accompaniment by corresponding epistemes which legitimate them does not mean that the particular form they take is insignificant. The religious and the racial epistemes that the </w:t>
      </w:r>
      <w:r w:rsidR="00FF5D97" w:rsidRPr="00EF782A">
        <w:rPr>
          <w:rFonts w:ascii="Times New Roman" w:hAnsi="Times New Roman" w:cs="Times New Roman"/>
          <w:i/>
          <w:sz w:val="24"/>
          <w:szCs w:val="24"/>
        </w:rPr>
        <w:t xml:space="preserve">Sentencia-Estatuto </w:t>
      </w:r>
      <w:r w:rsidR="00FF5D97" w:rsidRPr="00EF782A">
        <w:rPr>
          <w:rFonts w:ascii="Times New Roman" w:hAnsi="Times New Roman" w:cs="Times New Roman"/>
          <w:sz w:val="24"/>
          <w:szCs w:val="24"/>
        </w:rPr>
        <w:t xml:space="preserve">sits between produce categories of difference in a variety of ways. The fact </w:t>
      </w:r>
      <w:r w:rsidR="00FF5D97" w:rsidRPr="00EF782A">
        <w:rPr>
          <w:rFonts w:ascii="Times New Roman" w:hAnsi="Times New Roman" w:cs="Times New Roman"/>
          <w:sz w:val="24"/>
          <w:szCs w:val="24"/>
        </w:rPr>
        <w:lastRenderedPageBreak/>
        <w:t>that they both operate based on the production of difference should not lead us to see the changes from one to the other as a superficial shift. How they structure relations between different categories (Jew, converso, Christian), police the boundaries between them, and dictate the terms under which incorporation from one to the other may take place deeply shapes the terrain on which political struggles take place. Without going so far as to claim that the emancipatory possibilities in a given time are fully determined by these, it is crucial to keep in mind the experiences of struggles which surpass the epistemic conditions that could account for them.</w:t>
      </w:r>
      <w:r w:rsidR="00FF5D97" w:rsidRPr="00EF782A">
        <w:rPr>
          <w:rStyle w:val="FootnoteReference"/>
          <w:rFonts w:ascii="Times New Roman" w:hAnsi="Times New Roman" w:cs="Times New Roman"/>
          <w:sz w:val="24"/>
          <w:szCs w:val="24"/>
        </w:rPr>
        <w:footnoteReference w:id="31"/>
      </w:r>
      <w:r w:rsidR="00FF5D97" w:rsidRPr="00EF782A">
        <w:rPr>
          <w:rFonts w:ascii="Times New Roman" w:hAnsi="Times New Roman" w:cs="Times New Roman"/>
          <w:sz w:val="24"/>
          <w:szCs w:val="24"/>
        </w:rPr>
        <w:t xml:space="preserve"> Still, tracing the contours of a given episteme and set of social relations is an important step in understanding how people make politics under the conditions they find themselves in.</w:t>
      </w:r>
    </w:p>
    <w:p w14:paraId="7BBA2FFC" w14:textId="77777777" w:rsidR="00633934" w:rsidRPr="00EF782A" w:rsidRDefault="00EC30B1"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While changes in a definite set of social relations may be relatively straightforward to track through the enactment or repealing of legislation (as well as policies within non-state institutions), </w:t>
      </w:r>
      <w:r w:rsidR="00633934" w:rsidRPr="00EF782A">
        <w:rPr>
          <w:rFonts w:ascii="Times New Roman" w:hAnsi="Times New Roman" w:cs="Times New Roman"/>
          <w:sz w:val="24"/>
          <w:szCs w:val="24"/>
        </w:rPr>
        <w:t>tracking epistemic shifts is much more challenging</w:t>
      </w:r>
      <w:r w:rsidRPr="00EF782A">
        <w:rPr>
          <w:rFonts w:ascii="Times New Roman" w:hAnsi="Times New Roman" w:cs="Times New Roman"/>
          <w:sz w:val="24"/>
          <w:szCs w:val="24"/>
        </w:rPr>
        <w:t xml:space="preserve">. </w:t>
      </w:r>
      <w:r w:rsidR="00633934" w:rsidRPr="00EF782A">
        <w:rPr>
          <w:rFonts w:ascii="Times New Roman" w:hAnsi="Times New Roman" w:cs="Times New Roman"/>
          <w:sz w:val="24"/>
          <w:szCs w:val="24"/>
        </w:rPr>
        <w:t xml:space="preserve">No epistemic break is so great that all previous discursive forms are rendered mute before it. </w:t>
      </w:r>
      <w:r w:rsidR="001039A0" w:rsidRPr="00EF782A">
        <w:rPr>
          <w:rFonts w:ascii="Times New Roman" w:hAnsi="Times New Roman" w:cs="Times New Roman"/>
          <w:sz w:val="24"/>
          <w:szCs w:val="24"/>
        </w:rPr>
        <w:t>T</w:t>
      </w:r>
      <w:r w:rsidR="00F17F73" w:rsidRPr="00EF782A">
        <w:rPr>
          <w:rFonts w:ascii="Times New Roman" w:hAnsi="Times New Roman" w:cs="Times New Roman"/>
          <w:sz w:val="24"/>
          <w:szCs w:val="24"/>
        </w:rPr>
        <w:t>he function of any discursive formation rests on how it draws upon the sensibility of prior statements. The fact that w</w:t>
      </w:r>
      <w:r w:rsidR="00633934" w:rsidRPr="00EF782A">
        <w:rPr>
          <w:rFonts w:ascii="Times New Roman" w:hAnsi="Times New Roman" w:cs="Times New Roman"/>
          <w:sz w:val="24"/>
          <w:szCs w:val="24"/>
        </w:rPr>
        <w:t xml:space="preserve">e will always be able to trace certain continuities </w:t>
      </w:r>
      <w:r w:rsidR="005B0311" w:rsidRPr="00EF782A">
        <w:rPr>
          <w:rFonts w:ascii="Times New Roman" w:hAnsi="Times New Roman" w:cs="Times New Roman"/>
          <w:sz w:val="24"/>
          <w:szCs w:val="24"/>
        </w:rPr>
        <w:t>poses a challenge for thinking about change.</w:t>
      </w:r>
      <w:r w:rsidR="00C856D0" w:rsidRPr="00EF782A">
        <w:rPr>
          <w:rFonts w:ascii="Times New Roman" w:hAnsi="Times New Roman" w:cs="Times New Roman"/>
          <w:sz w:val="24"/>
          <w:szCs w:val="24"/>
        </w:rPr>
        <w:t xml:space="preserve"> Without abandoning the claim that the </w:t>
      </w:r>
      <w:r w:rsidR="00C856D0" w:rsidRPr="00EF782A">
        <w:rPr>
          <w:rFonts w:ascii="Times New Roman" w:hAnsi="Times New Roman" w:cs="Times New Roman"/>
          <w:i/>
          <w:sz w:val="24"/>
          <w:szCs w:val="24"/>
        </w:rPr>
        <w:t>Sentencia-Estatuto</w:t>
      </w:r>
      <w:r w:rsidR="00C856D0" w:rsidRPr="00EF782A">
        <w:rPr>
          <w:rFonts w:ascii="Times New Roman" w:hAnsi="Times New Roman" w:cs="Times New Roman"/>
          <w:sz w:val="24"/>
          <w:szCs w:val="24"/>
        </w:rPr>
        <w:t xml:space="preserve"> </w:t>
      </w:r>
      <w:r w:rsidR="00DC681A" w:rsidRPr="00EF782A">
        <w:rPr>
          <w:rFonts w:ascii="Times New Roman" w:hAnsi="Times New Roman" w:cs="Times New Roman"/>
          <w:sz w:val="24"/>
          <w:szCs w:val="24"/>
        </w:rPr>
        <w:t xml:space="preserve">does mark </w:t>
      </w:r>
      <w:r w:rsidR="00202C1E" w:rsidRPr="00EF782A">
        <w:rPr>
          <w:rFonts w:ascii="Times New Roman" w:hAnsi="Times New Roman" w:cs="Times New Roman"/>
          <w:sz w:val="24"/>
          <w:szCs w:val="24"/>
        </w:rPr>
        <w:t xml:space="preserve">some sort of </w:t>
      </w:r>
      <w:r w:rsidR="00812803" w:rsidRPr="00EF782A">
        <w:rPr>
          <w:rFonts w:ascii="Times New Roman" w:hAnsi="Times New Roman" w:cs="Times New Roman"/>
          <w:sz w:val="24"/>
          <w:szCs w:val="24"/>
        </w:rPr>
        <w:t>event</w:t>
      </w:r>
      <w:r w:rsidR="00202C1E" w:rsidRPr="00EF782A">
        <w:rPr>
          <w:rFonts w:ascii="Times New Roman" w:hAnsi="Times New Roman" w:cs="Times New Roman"/>
          <w:sz w:val="24"/>
          <w:szCs w:val="24"/>
        </w:rPr>
        <w:t xml:space="preserve">, </w:t>
      </w:r>
      <w:r w:rsidR="00421CDE" w:rsidRPr="00EF782A">
        <w:rPr>
          <w:rFonts w:ascii="Times New Roman" w:hAnsi="Times New Roman" w:cs="Times New Roman"/>
          <w:sz w:val="24"/>
          <w:szCs w:val="24"/>
        </w:rPr>
        <w:t xml:space="preserve">the question becomes </w:t>
      </w:r>
      <w:r w:rsidR="00E56695" w:rsidRPr="00EF782A">
        <w:rPr>
          <w:rFonts w:ascii="Times New Roman" w:hAnsi="Times New Roman" w:cs="Times New Roman"/>
          <w:sz w:val="24"/>
          <w:szCs w:val="24"/>
        </w:rPr>
        <w:t>what form</w:t>
      </w:r>
      <w:r w:rsidR="005814C6" w:rsidRPr="00EF782A">
        <w:rPr>
          <w:rFonts w:ascii="Times New Roman" w:hAnsi="Times New Roman" w:cs="Times New Roman"/>
          <w:sz w:val="24"/>
          <w:szCs w:val="24"/>
        </w:rPr>
        <w:t xml:space="preserve"> the </w:t>
      </w:r>
      <w:r w:rsidR="00812803" w:rsidRPr="00EF782A">
        <w:rPr>
          <w:rFonts w:ascii="Times New Roman" w:hAnsi="Times New Roman" w:cs="Times New Roman"/>
          <w:sz w:val="24"/>
          <w:szCs w:val="24"/>
        </w:rPr>
        <w:t>event</w:t>
      </w:r>
      <w:r w:rsidR="005814C6" w:rsidRPr="00EF782A">
        <w:rPr>
          <w:rFonts w:ascii="Times New Roman" w:hAnsi="Times New Roman" w:cs="Times New Roman"/>
          <w:sz w:val="24"/>
          <w:szCs w:val="24"/>
        </w:rPr>
        <w:t xml:space="preserve"> takes.</w:t>
      </w:r>
    </w:p>
    <w:p w14:paraId="30CFCCA3" w14:textId="7E92FA96" w:rsidR="005814C6" w:rsidRPr="00EF782A" w:rsidRDefault="005202D4" w:rsidP="00EF78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previously discussed, the event is not </w:t>
      </w:r>
      <w:r w:rsidR="007C6800">
        <w:rPr>
          <w:rFonts w:ascii="Times New Roman" w:hAnsi="Times New Roman" w:cs="Times New Roman"/>
          <w:sz w:val="24"/>
          <w:szCs w:val="24"/>
        </w:rPr>
        <w:t>an absolute origin point. Instead, we can approach it as a kind of</w:t>
      </w:r>
      <w:r w:rsidR="0062242A" w:rsidRPr="00EF782A">
        <w:rPr>
          <w:rFonts w:ascii="Times New Roman" w:hAnsi="Times New Roman" w:cs="Times New Roman"/>
          <w:sz w:val="24"/>
          <w:szCs w:val="24"/>
        </w:rPr>
        <w:t xml:space="preserve"> prism</w:t>
      </w:r>
      <w:r w:rsidR="00E56695" w:rsidRPr="00EF782A">
        <w:rPr>
          <w:rFonts w:ascii="Times New Roman" w:hAnsi="Times New Roman" w:cs="Times New Roman"/>
          <w:sz w:val="24"/>
          <w:szCs w:val="24"/>
        </w:rPr>
        <w:t xml:space="preserve">. </w:t>
      </w:r>
      <w:r w:rsidR="00744170" w:rsidRPr="00EF782A">
        <w:rPr>
          <w:rFonts w:ascii="Times New Roman" w:hAnsi="Times New Roman" w:cs="Times New Roman"/>
          <w:sz w:val="24"/>
          <w:szCs w:val="24"/>
        </w:rPr>
        <w:t>While</w:t>
      </w:r>
      <w:r w:rsidR="002E4575" w:rsidRPr="00EF782A">
        <w:rPr>
          <w:rFonts w:ascii="Times New Roman" w:hAnsi="Times New Roman" w:cs="Times New Roman"/>
          <w:sz w:val="24"/>
          <w:szCs w:val="24"/>
        </w:rPr>
        <w:t xml:space="preserve"> taking</w:t>
      </w:r>
      <w:r w:rsidR="00630A3A" w:rsidRPr="00EF782A">
        <w:rPr>
          <w:rFonts w:ascii="Times New Roman" w:hAnsi="Times New Roman" w:cs="Times New Roman"/>
          <w:sz w:val="24"/>
          <w:szCs w:val="24"/>
        </w:rPr>
        <w:t xml:space="preserve"> the </w:t>
      </w:r>
      <w:r w:rsidR="00B17CB8" w:rsidRPr="00EF782A">
        <w:rPr>
          <w:rFonts w:ascii="Times New Roman" w:hAnsi="Times New Roman" w:cs="Times New Roman"/>
          <w:i/>
          <w:sz w:val="24"/>
          <w:szCs w:val="24"/>
        </w:rPr>
        <w:t>Sentencia-Estatuto</w:t>
      </w:r>
      <w:r w:rsidR="00B17CB8" w:rsidRPr="00EF782A">
        <w:rPr>
          <w:rFonts w:ascii="Times New Roman" w:hAnsi="Times New Roman" w:cs="Times New Roman"/>
          <w:sz w:val="24"/>
          <w:szCs w:val="24"/>
        </w:rPr>
        <w:t xml:space="preserve"> </w:t>
      </w:r>
      <w:r w:rsidR="002E4575" w:rsidRPr="00EF782A">
        <w:rPr>
          <w:rFonts w:ascii="Times New Roman" w:hAnsi="Times New Roman" w:cs="Times New Roman"/>
          <w:sz w:val="24"/>
          <w:szCs w:val="24"/>
        </w:rPr>
        <w:t xml:space="preserve">as </w:t>
      </w:r>
      <w:r w:rsidR="00CD2E91" w:rsidRPr="00EF782A">
        <w:rPr>
          <w:rFonts w:ascii="Times New Roman" w:hAnsi="Times New Roman" w:cs="Times New Roman"/>
          <w:sz w:val="24"/>
          <w:szCs w:val="24"/>
        </w:rPr>
        <w:t xml:space="preserve">inaugurating a racial episteme </w:t>
      </w:r>
      <w:r w:rsidR="00C962BC" w:rsidRPr="00EF782A">
        <w:rPr>
          <w:rFonts w:ascii="Times New Roman" w:hAnsi="Times New Roman" w:cs="Times New Roman"/>
          <w:sz w:val="24"/>
          <w:szCs w:val="24"/>
        </w:rPr>
        <w:t xml:space="preserve">we can </w:t>
      </w:r>
      <w:r w:rsidR="007C6800">
        <w:rPr>
          <w:rFonts w:ascii="Times New Roman" w:hAnsi="Times New Roman" w:cs="Times New Roman"/>
          <w:sz w:val="24"/>
          <w:szCs w:val="24"/>
        </w:rPr>
        <w:t xml:space="preserve">still </w:t>
      </w:r>
      <w:r w:rsidR="00C962BC" w:rsidRPr="00EF782A">
        <w:rPr>
          <w:rFonts w:ascii="Times New Roman" w:hAnsi="Times New Roman" w:cs="Times New Roman"/>
          <w:sz w:val="24"/>
          <w:szCs w:val="24"/>
        </w:rPr>
        <w:t>discern a variety of histories</w:t>
      </w:r>
      <w:r w:rsidR="00C4428F" w:rsidRPr="00EF782A">
        <w:rPr>
          <w:rFonts w:ascii="Times New Roman" w:hAnsi="Times New Roman" w:cs="Times New Roman"/>
          <w:sz w:val="24"/>
          <w:szCs w:val="24"/>
        </w:rPr>
        <w:t xml:space="preserve"> that are refracted through it.</w:t>
      </w:r>
      <w:r w:rsidR="007B0F4A" w:rsidRPr="00EF782A">
        <w:rPr>
          <w:rFonts w:ascii="Times New Roman" w:hAnsi="Times New Roman" w:cs="Times New Roman"/>
          <w:sz w:val="24"/>
          <w:szCs w:val="24"/>
        </w:rPr>
        <w:t xml:space="preserve"> </w:t>
      </w:r>
      <w:r w:rsidR="007B5AC2" w:rsidRPr="00EF782A">
        <w:rPr>
          <w:rFonts w:ascii="Times New Roman" w:hAnsi="Times New Roman" w:cs="Times New Roman"/>
          <w:sz w:val="24"/>
          <w:szCs w:val="24"/>
        </w:rPr>
        <w:t>The failure of conversion to secure conversos the full rights and privileges of Christian subjects distinguishes it from earlie</w:t>
      </w:r>
      <w:r w:rsidR="007C6800">
        <w:rPr>
          <w:rFonts w:ascii="Times New Roman" w:hAnsi="Times New Roman" w:cs="Times New Roman"/>
          <w:sz w:val="24"/>
          <w:szCs w:val="24"/>
        </w:rPr>
        <w:t xml:space="preserve">r anti-Jewish policies. Even as the </w:t>
      </w:r>
      <w:r w:rsidR="007C6800">
        <w:rPr>
          <w:rFonts w:ascii="Times New Roman" w:hAnsi="Times New Roman" w:cs="Times New Roman"/>
          <w:i/>
          <w:sz w:val="24"/>
          <w:szCs w:val="24"/>
        </w:rPr>
        <w:t>Sentencia-Estatuto</w:t>
      </w:r>
      <w:r w:rsidR="007C6800">
        <w:rPr>
          <w:rFonts w:ascii="Times New Roman" w:hAnsi="Times New Roman" w:cs="Times New Roman"/>
          <w:sz w:val="24"/>
          <w:szCs w:val="24"/>
        </w:rPr>
        <w:t xml:space="preserve"> </w:t>
      </w:r>
      <w:r w:rsidR="007B5AC2" w:rsidRPr="00EF782A">
        <w:rPr>
          <w:rFonts w:ascii="Times New Roman" w:hAnsi="Times New Roman" w:cs="Times New Roman"/>
          <w:sz w:val="24"/>
          <w:szCs w:val="24"/>
        </w:rPr>
        <w:t xml:space="preserve">insists on the preservation of </w:t>
      </w:r>
      <w:r w:rsidR="007B5AC2" w:rsidRPr="00EF782A">
        <w:rPr>
          <w:rFonts w:ascii="Times New Roman" w:hAnsi="Times New Roman" w:cs="Times New Roman"/>
          <w:sz w:val="24"/>
          <w:szCs w:val="24"/>
        </w:rPr>
        <w:lastRenderedPageBreak/>
        <w:t xml:space="preserve">the Jewish spirit in the converso, Jew does not name the same subject it </w:t>
      </w:r>
      <w:r w:rsidR="007C6800">
        <w:rPr>
          <w:rFonts w:ascii="Times New Roman" w:hAnsi="Times New Roman" w:cs="Times New Roman"/>
          <w:sz w:val="24"/>
          <w:szCs w:val="24"/>
        </w:rPr>
        <w:t>ha</w:t>
      </w:r>
      <w:r w:rsidR="007B5AC2" w:rsidRPr="00EF782A">
        <w:rPr>
          <w:rFonts w:ascii="Times New Roman" w:hAnsi="Times New Roman" w:cs="Times New Roman"/>
          <w:sz w:val="24"/>
          <w:szCs w:val="24"/>
        </w:rPr>
        <w:t xml:space="preserve">d previously. </w:t>
      </w:r>
      <w:r w:rsidR="007906B4" w:rsidRPr="00EF782A">
        <w:rPr>
          <w:rFonts w:ascii="Times New Roman" w:hAnsi="Times New Roman" w:cs="Times New Roman"/>
          <w:sz w:val="24"/>
          <w:szCs w:val="24"/>
        </w:rPr>
        <w:t xml:space="preserve">The juridico-theological criteria that </w:t>
      </w:r>
      <w:r w:rsidR="00191F72" w:rsidRPr="00EF782A">
        <w:rPr>
          <w:rFonts w:ascii="Times New Roman" w:hAnsi="Times New Roman" w:cs="Times New Roman"/>
          <w:sz w:val="24"/>
          <w:szCs w:val="24"/>
        </w:rPr>
        <w:t xml:space="preserve">lent cohesion to the Jewish subject were exploded. </w:t>
      </w:r>
      <w:r w:rsidR="00A07392" w:rsidRPr="00EF782A">
        <w:rPr>
          <w:rFonts w:ascii="Times New Roman" w:hAnsi="Times New Roman" w:cs="Times New Roman"/>
          <w:sz w:val="24"/>
          <w:szCs w:val="24"/>
        </w:rPr>
        <w:t xml:space="preserve">And yet </w:t>
      </w:r>
      <w:r w:rsidR="003B170B" w:rsidRPr="00EF782A">
        <w:rPr>
          <w:rFonts w:ascii="Times New Roman" w:hAnsi="Times New Roman" w:cs="Times New Roman"/>
          <w:sz w:val="24"/>
          <w:szCs w:val="24"/>
        </w:rPr>
        <w:t xml:space="preserve">the victims the </w:t>
      </w:r>
      <w:r w:rsidR="003B170B" w:rsidRPr="00EF782A">
        <w:rPr>
          <w:rFonts w:ascii="Times New Roman" w:hAnsi="Times New Roman" w:cs="Times New Roman"/>
          <w:i/>
          <w:sz w:val="24"/>
          <w:szCs w:val="24"/>
        </w:rPr>
        <w:t>Sentencia-Estatuto</w:t>
      </w:r>
      <w:r w:rsidR="003B170B" w:rsidRPr="00EF782A">
        <w:rPr>
          <w:rFonts w:ascii="Times New Roman" w:hAnsi="Times New Roman" w:cs="Times New Roman"/>
          <w:sz w:val="24"/>
          <w:szCs w:val="24"/>
        </w:rPr>
        <w:t xml:space="preserve"> produced </w:t>
      </w:r>
      <w:r w:rsidR="00E02450" w:rsidRPr="00EF782A">
        <w:rPr>
          <w:rFonts w:ascii="Times New Roman" w:hAnsi="Times New Roman" w:cs="Times New Roman"/>
          <w:sz w:val="24"/>
          <w:szCs w:val="24"/>
        </w:rPr>
        <w:t xml:space="preserve">are not unexpected. </w:t>
      </w:r>
      <w:r w:rsidR="001C19EA">
        <w:rPr>
          <w:rFonts w:ascii="Times New Roman" w:hAnsi="Times New Roman" w:cs="Times New Roman"/>
          <w:sz w:val="24"/>
          <w:szCs w:val="24"/>
        </w:rPr>
        <w:t>We can find a</w:t>
      </w:r>
      <w:r w:rsidR="00FB1406" w:rsidRPr="00EF782A">
        <w:rPr>
          <w:rFonts w:ascii="Times New Roman" w:hAnsi="Times New Roman" w:cs="Times New Roman"/>
          <w:sz w:val="24"/>
          <w:szCs w:val="24"/>
        </w:rPr>
        <w:t xml:space="preserve"> history of </w:t>
      </w:r>
      <w:r w:rsidR="00671649" w:rsidRPr="00EF782A">
        <w:rPr>
          <w:rFonts w:ascii="Times New Roman" w:hAnsi="Times New Roman" w:cs="Times New Roman"/>
          <w:sz w:val="24"/>
          <w:szCs w:val="24"/>
        </w:rPr>
        <w:t>anti-</w:t>
      </w:r>
      <w:r w:rsidR="00FB1406" w:rsidRPr="00EF782A">
        <w:rPr>
          <w:rFonts w:ascii="Times New Roman" w:hAnsi="Times New Roman" w:cs="Times New Roman"/>
          <w:sz w:val="24"/>
          <w:szCs w:val="24"/>
        </w:rPr>
        <w:t>Jewish</w:t>
      </w:r>
      <w:r w:rsidR="00671649" w:rsidRPr="00EF782A">
        <w:rPr>
          <w:rFonts w:ascii="Times New Roman" w:hAnsi="Times New Roman" w:cs="Times New Roman"/>
          <w:sz w:val="24"/>
          <w:szCs w:val="24"/>
        </w:rPr>
        <w:t xml:space="preserve"> violence</w:t>
      </w:r>
      <w:r w:rsidR="003A2B79" w:rsidRPr="00EF782A">
        <w:rPr>
          <w:rFonts w:ascii="Times New Roman" w:hAnsi="Times New Roman" w:cs="Times New Roman"/>
          <w:sz w:val="24"/>
          <w:szCs w:val="24"/>
        </w:rPr>
        <w:t xml:space="preserve"> </w:t>
      </w:r>
      <w:r w:rsidR="00844A5E" w:rsidRPr="00EF782A">
        <w:rPr>
          <w:rFonts w:ascii="Times New Roman" w:hAnsi="Times New Roman" w:cs="Times New Roman"/>
          <w:sz w:val="24"/>
          <w:szCs w:val="24"/>
        </w:rPr>
        <w:t xml:space="preserve">refracted through it. </w:t>
      </w:r>
      <w:r w:rsidR="001C19EA">
        <w:rPr>
          <w:rFonts w:ascii="Times New Roman" w:hAnsi="Times New Roman" w:cs="Times New Roman"/>
          <w:sz w:val="24"/>
          <w:szCs w:val="24"/>
        </w:rPr>
        <w:t>The r</w:t>
      </w:r>
      <w:r w:rsidR="00C65CC5" w:rsidRPr="00EF782A">
        <w:rPr>
          <w:rFonts w:ascii="Times New Roman" w:hAnsi="Times New Roman" w:cs="Times New Roman"/>
          <w:sz w:val="24"/>
          <w:szCs w:val="24"/>
        </w:rPr>
        <w:t xml:space="preserve">estrictions on </w:t>
      </w:r>
      <w:r w:rsidR="005E294B" w:rsidRPr="00EF782A">
        <w:rPr>
          <w:rFonts w:ascii="Times New Roman" w:hAnsi="Times New Roman" w:cs="Times New Roman"/>
          <w:sz w:val="24"/>
          <w:szCs w:val="24"/>
        </w:rPr>
        <w:t>office-holding</w:t>
      </w:r>
      <w:r w:rsidR="001C19EA">
        <w:rPr>
          <w:rFonts w:ascii="Times New Roman" w:hAnsi="Times New Roman" w:cs="Times New Roman"/>
          <w:sz w:val="24"/>
          <w:szCs w:val="24"/>
        </w:rPr>
        <w:t xml:space="preserve"> </w:t>
      </w:r>
      <w:r w:rsidR="00E83F5B" w:rsidRPr="00EF782A">
        <w:rPr>
          <w:rFonts w:ascii="Times New Roman" w:hAnsi="Times New Roman" w:cs="Times New Roman"/>
          <w:sz w:val="24"/>
          <w:szCs w:val="24"/>
        </w:rPr>
        <w:t>enacted by the</w:t>
      </w:r>
      <w:r w:rsidR="00C65CC5" w:rsidRPr="00EF782A">
        <w:rPr>
          <w:rFonts w:ascii="Times New Roman" w:hAnsi="Times New Roman" w:cs="Times New Roman"/>
          <w:sz w:val="24"/>
          <w:szCs w:val="24"/>
        </w:rPr>
        <w:t xml:space="preserve"> IV Council of Toledo in 633, </w:t>
      </w:r>
      <w:r w:rsidR="008A58C0" w:rsidRPr="00EF782A">
        <w:rPr>
          <w:rFonts w:ascii="Times New Roman" w:hAnsi="Times New Roman" w:cs="Times New Roman"/>
          <w:sz w:val="24"/>
          <w:szCs w:val="24"/>
        </w:rPr>
        <w:t>repeated in</w:t>
      </w:r>
      <w:r w:rsidR="00650685" w:rsidRPr="00EF782A">
        <w:rPr>
          <w:rFonts w:ascii="Times New Roman" w:hAnsi="Times New Roman" w:cs="Times New Roman"/>
          <w:sz w:val="24"/>
          <w:szCs w:val="24"/>
        </w:rPr>
        <w:t xml:space="preserve"> 1215 by</w:t>
      </w:r>
      <w:r w:rsidR="008A58C0" w:rsidRPr="00EF782A">
        <w:rPr>
          <w:rFonts w:ascii="Times New Roman" w:hAnsi="Times New Roman" w:cs="Times New Roman"/>
          <w:sz w:val="24"/>
          <w:szCs w:val="24"/>
        </w:rPr>
        <w:t xml:space="preserve"> the </w:t>
      </w:r>
      <w:r w:rsidR="00915DCD" w:rsidRPr="00EF782A">
        <w:rPr>
          <w:rFonts w:ascii="Times New Roman" w:hAnsi="Times New Roman" w:cs="Times New Roman"/>
          <w:sz w:val="24"/>
          <w:szCs w:val="24"/>
        </w:rPr>
        <w:t>IV Council of Lateran</w:t>
      </w:r>
      <w:r w:rsidR="001C19EA">
        <w:rPr>
          <w:rFonts w:ascii="Times New Roman" w:hAnsi="Times New Roman" w:cs="Times New Roman"/>
          <w:sz w:val="24"/>
          <w:szCs w:val="24"/>
        </w:rPr>
        <w:t>,</w:t>
      </w:r>
      <w:r w:rsidR="00CD388D" w:rsidRPr="00EF782A">
        <w:rPr>
          <w:rFonts w:ascii="Times New Roman" w:hAnsi="Times New Roman" w:cs="Times New Roman"/>
          <w:sz w:val="24"/>
          <w:szCs w:val="24"/>
        </w:rPr>
        <w:t xml:space="preserve"> and</w:t>
      </w:r>
      <w:r w:rsidR="00915DCD" w:rsidRPr="00EF782A">
        <w:rPr>
          <w:rFonts w:ascii="Times New Roman" w:hAnsi="Times New Roman" w:cs="Times New Roman"/>
          <w:sz w:val="24"/>
          <w:szCs w:val="24"/>
        </w:rPr>
        <w:t xml:space="preserve"> </w:t>
      </w:r>
      <w:r w:rsidR="00650685" w:rsidRPr="00EF782A">
        <w:rPr>
          <w:rFonts w:ascii="Times New Roman" w:hAnsi="Times New Roman" w:cs="Times New Roman"/>
          <w:sz w:val="24"/>
          <w:szCs w:val="24"/>
        </w:rPr>
        <w:t xml:space="preserve">again in the </w:t>
      </w:r>
      <w:r w:rsidR="008A58C0" w:rsidRPr="00EF782A">
        <w:rPr>
          <w:rFonts w:ascii="Times New Roman" w:hAnsi="Times New Roman" w:cs="Times New Roman"/>
          <w:sz w:val="24"/>
          <w:szCs w:val="24"/>
        </w:rPr>
        <w:t>thirteenth century in Alonso X’s</w:t>
      </w:r>
      <w:r w:rsidR="00C65CC5" w:rsidRPr="00EF782A">
        <w:rPr>
          <w:rFonts w:ascii="Times New Roman" w:hAnsi="Times New Roman" w:cs="Times New Roman"/>
          <w:sz w:val="24"/>
          <w:szCs w:val="24"/>
        </w:rPr>
        <w:t xml:space="preserve"> </w:t>
      </w:r>
      <w:r w:rsidR="00C65CC5" w:rsidRPr="00EF782A">
        <w:rPr>
          <w:rFonts w:ascii="Times New Roman" w:hAnsi="Times New Roman" w:cs="Times New Roman"/>
          <w:i/>
          <w:sz w:val="24"/>
          <w:szCs w:val="24"/>
        </w:rPr>
        <w:t>Siete Partidas</w:t>
      </w:r>
      <w:r w:rsidR="00C65CC5" w:rsidRPr="00EF782A">
        <w:rPr>
          <w:rFonts w:ascii="Times New Roman" w:hAnsi="Times New Roman" w:cs="Times New Roman"/>
          <w:sz w:val="24"/>
          <w:szCs w:val="24"/>
        </w:rPr>
        <w:t>,</w:t>
      </w:r>
      <w:r w:rsidR="00CD388D" w:rsidRPr="00EF782A">
        <w:rPr>
          <w:rFonts w:ascii="Times New Roman" w:hAnsi="Times New Roman" w:cs="Times New Roman"/>
          <w:sz w:val="24"/>
          <w:szCs w:val="24"/>
        </w:rPr>
        <w:t xml:space="preserve"> </w:t>
      </w:r>
      <w:r w:rsidR="001C19EA">
        <w:rPr>
          <w:rFonts w:ascii="Times New Roman" w:hAnsi="Times New Roman" w:cs="Times New Roman"/>
          <w:sz w:val="24"/>
          <w:szCs w:val="24"/>
        </w:rPr>
        <w:t xml:space="preserve">the </w:t>
      </w:r>
      <w:r w:rsidR="00C65CC5" w:rsidRPr="00EF782A">
        <w:rPr>
          <w:rFonts w:ascii="Times New Roman" w:hAnsi="Times New Roman" w:cs="Times New Roman"/>
          <w:sz w:val="24"/>
          <w:szCs w:val="24"/>
        </w:rPr>
        <w:t>pogroms and mass forced conversions in 1391</w:t>
      </w:r>
      <w:r w:rsidR="002C205D" w:rsidRPr="00EF782A">
        <w:rPr>
          <w:rFonts w:ascii="Times New Roman" w:hAnsi="Times New Roman" w:cs="Times New Roman"/>
          <w:sz w:val="24"/>
          <w:szCs w:val="24"/>
        </w:rPr>
        <w:t>,</w:t>
      </w:r>
      <w:r w:rsidR="00CD388D" w:rsidRPr="00EF782A">
        <w:rPr>
          <w:rFonts w:ascii="Times New Roman" w:hAnsi="Times New Roman" w:cs="Times New Roman"/>
          <w:sz w:val="24"/>
          <w:szCs w:val="24"/>
        </w:rPr>
        <w:t xml:space="preserve"> these</w:t>
      </w:r>
      <w:r w:rsidR="00915DCD" w:rsidRPr="00EF782A">
        <w:rPr>
          <w:rFonts w:ascii="Times New Roman" w:hAnsi="Times New Roman" w:cs="Times New Roman"/>
          <w:sz w:val="24"/>
          <w:szCs w:val="24"/>
        </w:rPr>
        <w:t xml:space="preserve"> are s</w:t>
      </w:r>
      <w:r w:rsidR="002C205D" w:rsidRPr="00EF782A">
        <w:rPr>
          <w:rFonts w:ascii="Times New Roman" w:hAnsi="Times New Roman" w:cs="Times New Roman"/>
          <w:sz w:val="24"/>
          <w:szCs w:val="24"/>
        </w:rPr>
        <w:t>ome</w:t>
      </w:r>
      <w:r w:rsidR="00915DCD" w:rsidRPr="00EF782A">
        <w:rPr>
          <w:rFonts w:ascii="Times New Roman" w:hAnsi="Times New Roman" w:cs="Times New Roman"/>
          <w:sz w:val="24"/>
          <w:szCs w:val="24"/>
        </w:rPr>
        <w:t xml:space="preserve"> of the moments </w:t>
      </w:r>
      <w:r w:rsidR="002C205D" w:rsidRPr="00EF782A">
        <w:rPr>
          <w:rFonts w:ascii="Times New Roman" w:hAnsi="Times New Roman" w:cs="Times New Roman"/>
          <w:sz w:val="24"/>
          <w:szCs w:val="24"/>
        </w:rPr>
        <w:t>of that history.</w:t>
      </w:r>
      <w:r w:rsidR="00C65CC5" w:rsidRPr="00EF782A">
        <w:rPr>
          <w:rStyle w:val="FootnoteReference"/>
          <w:rFonts w:ascii="Times New Roman" w:hAnsi="Times New Roman" w:cs="Times New Roman"/>
          <w:sz w:val="24"/>
          <w:szCs w:val="24"/>
        </w:rPr>
        <w:footnoteReference w:id="32"/>
      </w:r>
    </w:p>
    <w:p w14:paraId="2EEA46E2" w14:textId="77777777" w:rsidR="009A3FE1" w:rsidRPr="00EF782A" w:rsidRDefault="00D72935" w:rsidP="005338F5">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R</w:t>
      </w:r>
      <w:r w:rsidR="006D1A08" w:rsidRPr="00EF782A">
        <w:rPr>
          <w:rFonts w:ascii="Times New Roman" w:hAnsi="Times New Roman" w:cs="Times New Roman"/>
          <w:sz w:val="24"/>
          <w:szCs w:val="24"/>
        </w:rPr>
        <w:t xml:space="preserve">ecounting the suffering of Old Christians, the </w:t>
      </w:r>
      <w:r w:rsidR="006D1A08" w:rsidRPr="00EF782A">
        <w:rPr>
          <w:rFonts w:ascii="Times New Roman" w:hAnsi="Times New Roman" w:cs="Times New Roman"/>
          <w:i/>
          <w:sz w:val="24"/>
          <w:szCs w:val="24"/>
        </w:rPr>
        <w:t>Sentencia-Estatuto</w:t>
      </w:r>
      <w:r w:rsidR="006D1A08" w:rsidRPr="00EF782A">
        <w:rPr>
          <w:rFonts w:ascii="Times New Roman" w:hAnsi="Times New Roman" w:cs="Times New Roman"/>
          <w:sz w:val="24"/>
          <w:szCs w:val="24"/>
        </w:rPr>
        <w:t xml:space="preserve"> reads “</w:t>
      </w:r>
      <w:r w:rsidR="00C509C5" w:rsidRPr="00EF782A">
        <w:rPr>
          <w:rFonts w:ascii="Times New Roman" w:hAnsi="Times New Roman" w:cs="Times New Roman"/>
          <w:sz w:val="24"/>
          <w:szCs w:val="24"/>
        </w:rPr>
        <w:t>...</w:t>
      </w:r>
      <w:r w:rsidR="006D1A08" w:rsidRPr="00EF782A">
        <w:rPr>
          <w:rFonts w:ascii="Times New Roman" w:hAnsi="Times New Roman" w:cs="Times New Roman"/>
          <w:sz w:val="24"/>
          <w:szCs w:val="24"/>
        </w:rPr>
        <w:t xml:space="preserve">the constable don Alvaro de Luna, along with his henchmen and allies, our enemies, made cruel war against us, armed with blood and fire, </w:t>
      </w:r>
      <w:r w:rsidR="00C509C5" w:rsidRPr="00EF782A">
        <w:rPr>
          <w:rFonts w:ascii="Times New Roman" w:hAnsi="Times New Roman" w:cs="Times New Roman"/>
          <w:sz w:val="24"/>
          <w:szCs w:val="24"/>
        </w:rPr>
        <w:t>harming, robbing</w:t>
      </w:r>
      <w:r w:rsidR="004454F2" w:rsidRPr="00EF782A">
        <w:rPr>
          <w:rFonts w:ascii="Times New Roman" w:hAnsi="Times New Roman" w:cs="Times New Roman"/>
          <w:sz w:val="24"/>
          <w:szCs w:val="24"/>
        </w:rPr>
        <w:t>,</w:t>
      </w:r>
      <w:r w:rsidR="00C509C5" w:rsidRPr="00EF782A">
        <w:rPr>
          <w:rFonts w:ascii="Times New Roman" w:hAnsi="Times New Roman" w:cs="Times New Roman"/>
          <w:sz w:val="24"/>
          <w:szCs w:val="24"/>
        </w:rPr>
        <w:t xml:space="preserve"> and </w:t>
      </w:r>
      <w:r w:rsidR="006D1A08" w:rsidRPr="00EF782A">
        <w:rPr>
          <w:rFonts w:ascii="Times New Roman" w:hAnsi="Times New Roman" w:cs="Times New Roman"/>
          <w:sz w:val="24"/>
          <w:szCs w:val="24"/>
        </w:rPr>
        <w:t xml:space="preserve">laying waste </w:t>
      </w:r>
      <w:r w:rsidR="00C509C5" w:rsidRPr="00EF782A">
        <w:rPr>
          <w:rFonts w:ascii="Times New Roman" w:hAnsi="Times New Roman" w:cs="Times New Roman"/>
          <w:sz w:val="24"/>
          <w:szCs w:val="24"/>
        </w:rPr>
        <w:t>to u</w:t>
      </w:r>
      <w:r w:rsidR="00C26C13" w:rsidRPr="00EF782A">
        <w:rPr>
          <w:rFonts w:ascii="Times New Roman" w:hAnsi="Times New Roman" w:cs="Times New Roman"/>
          <w:sz w:val="24"/>
          <w:szCs w:val="24"/>
        </w:rPr>
        <w:t>s as if we were M</w:t>
      </w:r>
      <w:r w:rsidR="00C509C5" w:rsidRPr="00EF782A">
        <w:rPr>
          <w:rFonts w:ascii="Times New Roman" w:hAnsi="Times New Roman" w:cs="Times New Roman"/>
          <w:sz w:val="24"/>
          <w:szCs w:val="24"/>
        </w:rPr>
        <w:t>oors, enemies of the faith...</w:t>
      </w:r>
      <w:r w:rsidR="006D1A08" w:rsidRPr="00EF782A">
        <w:rPr>
          <w:rFonts w:ascii="Times New Roman" w:hAnsi="Times New Roman" w:cs="Times New Roman"/>
          <w:sz w:val="24"/>
          <w:szCs w:val="24"/>
        </w:rPr>
        <w:t>”</w:t>
      </w:r>
      <w:r w:rsidR="006D1A08" w:rsidRPr="00EF782A">
        <w:rPr>
          <w:rStyle w:val="FootnoteReference"/>
          <w:rFonts w:ascii="Times New Roman" w:hAnsi="Times New Roman" w:cs="Times New Roman"/>
          <w:sz w:val="24"/>
          <w:szCs w:val="24"/>
        </w:rPr>
        <w:footnoteReference w:id="33"/>
      </w:r>
      <w:r w:rsidR="004454F2" w:rsidRPr="00EF782A">
        <w:rPr>
          <w:rFonts w:ascii="Times New Roman" w:hAnsi="Times New Roman" w:cs="Times New Roman"/>
          <w:sz w:val="24"/>
          <w:szCs w:val="24"/>
        </w:rPr>
        <w:t xml:space="preserve"> </w:t>
      </w:r>
      <w:r w:rsidR="00002C97" w:rsidRPr="00EF782A">
        <w:rPr>
          <w:rFonts w:ascii="Times New Roman" w:hAnsi="Times New Roman" w:cs="Times New Roman"/>
          <w:sz w:val="24"/>
          <w:szCs w:val="24"/>
        </w:rPr>
        <w:t xml:space="preserve">Here </w:t>
      </w:r>
      <w:r w:rsidR="00F45FEB" w:rsidRPr="00EF782A">
        <w:rPr>
          <w:rFonts w:ascii="Times New Roman" w:hAnsi="Times New Roman" w:cs="Times New Roman"/>
          <w:sz w:val="24"/>
          <w:szCs w:val="24"/>
        </w:rPr>
        <w:t xml:space="preserve">another history is revealed. </w:t>
      </w:r>
      <w:r w:rsidR="00037A68" w:rsidRPr="00EF782A">
        <w:rPr>
          <w:rFonts w:ascii="Times New Roman" w:hAnsi="Times New Roman" w:cs="Times New Roman"/>
          <w:sz w:val="24"/>
          <w:szCs w:val="24"/>
        </w:rPr>
        <w:t xml:space="preserve">The Iberian understanding of religious difference </w:t>
      </w:r>
      <w:r w:rsidR="00B40433" w:rsidRPr="00EF782A">
        <w:rPr>
          <w:rFonts w:ascii="Times New Roman" w:hAnsi="Times New Roman" w:cs="Times New Roman"/>
          <w:sz w:val="24"/>
          <w:szCs w:val="24"/>
        </w:rPr>
        <w:t>did not operate</w:t>
      </w:r>
      <w:r w:rsidR="00037A68" w:rsidRPr="00EF782A">
        <w:rPr>
          <w:rFonts w:ascii="Times New Roman" w:hAnsi="Times New Roman" w:cs="Times New Roman"/>
          <w:sz w:val="24"/>
          <w:szCs w:val="24"/>
        </w:rPr>
        <w:t xml:space="preserve"> through a Christian/Jew</w:t>
      </w:r>
      <w:r w:rsidR="003B5138" w:rsidRPr="00EF782A">
        <w:rPr>
          <w:rFonts w:ascii="Times New Roman" w:hAnsi="Times New Roman" w:cs="Times New Roman"/>
          <w:sz w:val="24"/>
          <w:szCs w:val="24"/>
        </w:rPr>
        <w:t>ish</w:t>
      </w:r>
      <w:r w:rsidR="00037A68" w:rsidRPr="00EF782A">
        <w:rPr>
          <w:rFonts w:ascii="Times New Roman" w:hAnsi="Times New Roman" w:cs="Times New Roman"/>
          <w:sz w:val="24"/>
          <w:szCs w:val="24"/>
        </w:rPr>
        <w:t xml:space="preserve"> binary, but </w:t>
      </w:r>
      <w:r w:rsidR="00B40433" w:rsidRPr="00EF782A">
        <w:rPr>
          <w:rFonts w:ascii="Times New Roman" w:hAnsi="Times New Roman" w:cs="Times New Roman"/>
          <w:sz w:val="24"/>
          <w:szCs w:val="24"/>
        </w:rPr>
        <w:t xml:space="preserve">was deeply shaped by the </w:t>
      </w:r>
      <w:r w:rsidR="00B01DC7" w:rsidRPr="00EF782A">
        <w:rPr>
          <w:rFonts w:ascii="Times New Roman" w:hAnsi="Times New Roman" w:cs="Times New Roman"/>
          <w:sz w:val="24"/>
          <w:szCs w:val="24"/>
        </w:rPr>
        <w:t xml:space="preserve">Islam as well. </w:t>
      </w:r>
      <w:r w:rsidR="007374F4" w:rsidRPr="00EF782A">
        <w:rPr>
          <w:rFonts w:ascii="Times New Roman" w:hAnsi="Times New Roman" w:cs="Times New Roman"/>
          <w:sz w:val="24"/>
          <w:szCs w:val="24"/>
        </w:rPr>
        <w:t xml:space="preserve">The struggles over </w:t>
      </w:r>
      <w:r w:rsidR="00A438BF" w:rsidRPr="00EF782A">
        <w:rPr>
          <w:rFonts w:ascii="Times New Roman" w:hAnsi="Times New Roman" w:cs="Times New Roman"/>
          <w:sz w:val="24"/>
          <w:szCs w:val="24"/>
        </w:rPr>
        <w:t xml:space="preserve">the Castilian throne were </w:t>
      </w:r>
      <w:r w:rsidR="000B5F8C" w:rsidRPr="00EF782A">
        <w:rPr>
          <w:rFonts w:ascii="Times New Roman" w:hAnsi="Times New Roman" w:cs="Times New Roman"/>
          <w:sz w:val="24"/>
          <w:szCs w:val="24"/>
        </w:rPr>
        <w:t>concurrent with the Reconquista</w:t>
      </w:r>
      <w:r w:rsidR="003B5138" w:rsidRPr="00EF782A">
        <w:rPr>
          <w:rFonts w:ascii="Times New Roman" w:hAnsi="Times New Roman" w:cs="Times New Roman"/>
          <w:sz w:val="24"/>
          <w:szCs w:val="24"/>
        </w:rPr>
        <w:t xml:space="preserve"> and the political alliances that were made and unmade </w:t>
      </w:r>
      <w:r w:rsidR="00CC56D0" w:rsidRPr="00EF782A">
        <w:rPr>
          <w:rFonts w:ascii="Times New Roman" w:hAnsi="Times New Roman" w:cs="Times New Roman"/>
          <w:sz w:val="24"/>
          <w:szCs w:val="24"/>
        </w:rPr>
        <w:t>crossed religious lines.</w:t>
      </w:r>
      <w:r w:rsidR="00CC56D0" w:rsidRPr="00EF782A">
        <w:rPr>
          <w:rStyle w:val="FootnoteReference"/>
          <w:rFonts w:ascii="Times New Roman" w:hAnsi="Times New Roman" w:cs="Times New Roman"/>
          <w:sz w:val="24"/>
          <w:szCs w:val="24"/>
        </w:rPr>
        <w:footnoteReference w:id="34"/>
      </w:r>
      <w:r w:rsidR="003D1EC8" w:rsidRPr="00EF782A">
        <w:rPr>
          <w:rFonts w:ascii="Times New Roman" w:hAnsi="Times New Roman" w:cs="Times New Roman"/>
          <w:sz w:val="24"/>
          <w:szCs w:val="24"/>
        </w:rPr>
        <w:t xml:space="preserve"> </w:t>
      </w:r>
      <w:r w:rsidR="005D21B7" w:rsidRPr="00EF782A">
        <w:rPr>
          <w:rFonts w:ascii="Times New Roman" w:hAnsi="Times New Roman" w:cs="Times New Roman"/>
          <w:sz w:val="24"/>
          <w:szCs w:val="24"/>
        </w:rPr>
        <w:t>Moriscos (Muslim converts to Christianity),</w:t>
      </w:r>
      <w:r w:rsidR="00817BBF">
        <w:rPr>
          <w:rFonts w:ascii="Times New Roman" w:hAnsi="Times New Roman" w:cs="Times New Roman"/>
          <w:sz w:val="24"/>
          <w:szCs w:val="24"/>
        </w:rPr>
        <w:t xml:space="preserve"> however,</w:t>
      </w:r>
      <w:r w:rsidR="005D21B7" w:rsidRPr="00EF782A">
        <w:rPr>
          <w:rFonts w:ascii="Times New Roman" w:hAnsi="Times New Roman" w:cs="Times New Roman"/>
          <w:sz w:val="24"/>
          <w:szCs w:val="24"/>
        </w:rPr>
        <w:t xml:space="preserve"> were not targeted by the earliest of the blood purity statutes. </w:t>
      </w:r>
      <w:r w:rsidR="00B64930" w:rsidRPr="00EF782A">
        <w:rPr>
          <w:rFonts w:ascii="Times New Roman" w:hAnsi="Times New Roman" w:cs="Times New Roman"/>
          <w:sz w:val="24"/>
          <w:szCs w:val="24"/>
        </w:rPr>
        <w:t>The e</w:t>
      </w:r>
      <w:r w:rsidR="00BF3939" w:rsidRPr="00EF782A">
        <w:rPr>
          <w:rFonts w:ascii="Times New Roman" w:hAnsi="Times New Roman" w:cs="Times New Roman"/>
          <w:sz w:val="24"/>
          <w:szCs w:val="24"/>
        </w:rPr>
        <w:t>xisten</w:t>
      </w:r>
      <w:r w:rsidR="004820E6" w:rsidRPr="00EF782A">
        <w:rPr>
          <w:rFonts w:ascii="Times New Roman" w:hAnsi="Times New Roman" w:cs="Times New Roman"/>
          <w:sz w:val="24"/>
          <w:szCs w:val="24"/>
        </w:rPr>
        <w:t xml:space="preserve">ce of Granada as a </w:t>
      </w:r>
      <w:r w:rsidR="00BF3939" w:rsidRPr="00EF782A">
        <w:rPr>
          <w:rFonts w:ascii="Times New Roman" w:hAnsi="Times New Roman" w:cs="Times New Roman"/>
          <w:sz w:val="24"/>
          <w:szCs w:val="24"/>
        </w:rPr>
        <w:t xml:space="preserve">Muslim </w:t>
      </w:r>
      <w:r w:rsidR="004820E6" w:rsidRPr="00EF782A">
        <w:rPr>
          <w:rFonts w:ascii="Times New Roman" w:hAnsi="Times New Roman" w:cs="Times New Roman"/>
          <w:sz w:val="24"/>
          <w:szCs w:val="24"/>
        </w:rPr>
        <w:t>kingdom</w:t>
      </w:r>
      <w:r w:rsidR="00BF3939" w:rsidRPr="00EF782A">
        <w:rPr>
          <w:rFonts w:ascii="Times New Roman" w:hAnsi="Times New Roman" w:cs="Times New Roman"/>
          <w:sz w:val="24"/>
          <w:szCs w:val="24"/>
        </w:rPr>
        <w:t xml:space="preserve"> until 1492 </w:t>
      </w:r>
      <w:r w:rsidR="0050315C" w:rsidRPr="00EF782A">
        <w:rPr>
          <w:rFonts w:ascii="Times New Roman" w:hAnsi="Times New Roman" w:cs="Times New Roman"/>
          <w:sz w:val="24"/>
          <w:szCs w:val="24"/>
        </w:rPr>
        <w:t>and the lack of mass forced conversions until the beg</w:t>
      </w:r>
      <w:r w:rsidR="004C261C" w:rsidRPr="00EF782A">
        <w:rPr>
          <w:rFonts w:ascii="Times New Roman" w:hAnsi="Times New Roman" w:cs="Times New Roman"/>
          <w:sz w:val="24"/>
          <w:szCs w:val="24"/>
        </w:rPr>
        <w:t xml:space="preserve">inning of the sixteenth century led moriscos to </w:t>
      </w:r>
      <w:r w:rsidR="00EB1507" w:rsidRPr="00EF782A">
        <w:rPr>
          <w:rFonts w:ascii="Times New Roman" w:hAnsi="Times New Roman" w:cs="Times New Roman"/>
          <w:sz w:val="24"/>
          <w:szCs w:val="24"/>
        </w:rPr>
        <w:t>pose a different set of issues than the ones blood purity statues aimed to resolve.</w:t>
      </w:r>
      <w:r w:rsidR="00EB1507" w:rsidRPr="00EF782A">
        <w:rPr>
          <w:rStyle w:val="FootnoteReference"/>
          <w:rFonts w:ascii="Times New Roman" w:hAnsi="Times New Roman" w:cs="Times New Roman"/>
          <w:sz w:val="24"/>
          <w:szCs w:val="24"/>
        </w:rPr>
        <w:footnoteReference w:id="35"/>
      </w:r>
      <w:r w:rsidR="005338F5">
        <w:rPr>
          <w:rFonts w:ascii="Times New Roman" w:hAnsi="Times New Roman" w:cs="Times New Roman"/>
          <w:sz w:val="24"/>
          <w:szCs w:val="24"/>
        </w:rPr>
        <w:t xml:space="preserve"> </w:t>
      </w:r>
      <w:r w:rsidR="004820E6" w:rsidRPr="00EF782A">
        <w:rPr>
          <w:rFonts w:ascii="Times New Roman" w:hAnsi="Times New Roman" w:cs="Times New Roman"/>
          <w:sz w:val="24"/>
          <w:szCs w:val="24"/>
        </w:rPr>
        <w:t>Finally,</w:t>
      </w:r>
      <w:r w:rsidR="00E43F2D" w:rsidRPr="00EF782A">
        <w:rPr>
          <w:rFonts w:ascii="Times New Roman" w:hAnsi="Times New Roman" w:cs="Times New Roman"/>
          <w:sz w:val="24"/>
          <w:szCs w:val="24"/>
        </w:rPr>
        <w:t xml:space="preserve"> </w:t>
      </w:r>
      <w:r w:rsidR="005338F5">
        <w:rPr>
          <w:rFonts w:ascii="Times New Roman" w:hAnsi="Times New Roman" w:cs="Times New Roman"/>
          <w:sz w:val="24"/>
          <w:szCs w:val="24"/>
        </w:rPr>
        <w:t>what can</w:t>
      </w:r>
      <w:r w:rsidR="00DE2EA6" w:rsidRPr="00EF782A">
        <w:rPr>
          <w:rFonts w:ascii="Times New Roman" w:hAnsi="Times New Roman" w:cs="Times New Roman"/>
          <w:sz w:val="24"/>
          <w:szCs w:val="24"/>
        </w:rPr>
        <w:t xml:space="preserve"> we learn from</w:t>
      </w:r>
      <w:r w:rsidR="004820E6" w:rsidRPr="00EF782A">
        <w:rPr>
          <w:rFonts w:ascii="Times New Roman" w:hAnsi="Times New Roman" w:cs="Times New Roman"/>
          <w:sz w:val="24"/>
          <w:szCs w:val="24"/>
        </w:rPr>
        <w:t xml:space="preserve"> </w:t>
      </w:r>
      <w:r w:rsidRPr="00EF782A">
        <w:rPr>
          <w:rFonts w:ascii="Times New Roman" w:hAnsi="Times New Roman" w:cs="Times New Roman"/>
          <w:sz w:val="24"/>
          <w:szCs w:val="24"/>
        </w:rPr>
        <w:t>the</w:t>
      </w:r>
      <w:r w:rsidR="00ED1CF7" w:rsidRPr="00EF782A">
        <w:rPr>
          <w:rFonts w:ascii="Times New Roman" w:hAnsi="Times New Roman" w:cs="Times New Roman"/>
          <w:sz w:val="24"/>
          <w:szCs w:val="24"/>
        </w:rPr>
        <w:t xml:space="preserve"> accus</w:t>
      </w:r>
      <w:r w:rsidRPr="00EF782A">
        <w:rPr>
          <w:rFonts w:ascii="Times New Roman" w:hAnsi="Times New Roman" w:cs="Times New Roman"/>
          <w:sz w:val="24"/>
          <w:szCs w:val="24"/>
        </w:rPr>
        <w:t>ation that Luna</w:t>
      </w:r>
      <w:r w:rsidR="00ED1CF7" w:rsidRPr="00EF782A">
        <w:rPr>
          <w:rFonts w:ascii="Times New Roman" w:hAnsi="Times New Roman" w:cs="Times New Roman"/>
          <w:sz w:val="24"/>
          <w:szCs w:val="24"/>
        </w:rPr>
        <w:t xml:space="preserve"> wag</w:t>
      </w:r>
      <w:r w:rsidRPr="00EF782A">
        <w:rPr>
          <w:rFonts w:ascii="Times New Roman" w:hAnsi="Times New Roman" w:cs="Times New Roman"/>
          <w:sz w:val="24"/>
          <w:szCs w:val="24"/>
        </w:rPr>
        <w:t>ed</w:t>
      </w:r>
      <w:r w:rsidR="004820E6" w:rsidRPr="00EF782A">
        <w:rPr>
          <w:rFonts w:ascii="Times New Roman" w:hAnsi="Times New Roman" w:cs="Times New Roman"/>
          <w:sz w:val="24"/>
          <w:szCs w:val="24"/>
        </w:rPr>
        <w:t xml:space="preserve"> war against Old Christians</w:t>
      </w:r>
      <w:r w:rsidR="00ED1CF7" w:rsidRPr="00EF782A">
        <w:rPr>
          <w:rFonts w:ascii="Times New Roman" w:hAnsi="Times New Roman" w:cs="Times New Roman"/>
          <w:sz w:val="24"/>
          <w:szCs w:val="24"/>
        </w:rPr>
        <w:t xml:space="preserve"> as if they</w:t>
      </w:r>
      <w:r w:rsidR="00C26C13" w:rsidRPr="00EF782A">
        <w:rPr>
          <w:rFonts w:ascii="Times New Roman" w:hAnsi="Times New Roman" w:cs="Times New Roman"/>
          <w:sz w:val="24"/>
          <w:szCs w:val="24"/>
        </w:rPr>
        <w:t xml:space="preserve"> were M</w:t>
      </w:r>
      <w:r w:rsidR="00ED1CF7" w:rsidRPr="00EF782A">
        <w:rPr>
          <w:rFonts w:ascii="Times New Roman" w:hAnsi="Times New Roman" w:cs="Times New Roman"/>
          <w:sz w:val="24"/>
          <w:szCs w:val="24"/>
        </w:rPr>
        <w:t>oors</w:t>
      </w:r>
      <w:r w:rsidR="00E43F2D" w:rsidRPr="00EF782A">
        <w:rPr>
          <w:rFonts w:ascii="Times New Roman" w:hAnsi="Times New Roman" w:cs="Times New Roman"/>
          <w:sz w:val="24"/>
          <w:szCs w:val="24"/>
        </w:rPr>
        <w:t xml:space="preserve">? </w:t>
      </w:r>
      <w:r w:rsidR="001A2459" w:rsidRPr="00EF782A">
        <w:rPr>
          <w:rFonts w:ascii="Times New Roman" w:hAnsi="Times New Roman" w:cs="Times New Roman"/>
          <w:sz w:val="24"/>
          <w:szCs w:val="24"/>
        </w:rPr>
        <w:t xml:space="preserve">Its function as an </w:t>
      </w:r>
      <w:r w:rsidR="001A2459" w:rsidRPr="00EF782A">
        <w:rPr>
          <w:rFonts w:ascii="Times New Roman" w:hAnsi="Times New Roman" w:cs="Times New Roman"/>
          <w:sz w:val="24"/>
          <w:szCs w:val="24"/>
        </w:rPr>
        <w:lastRenderedPageBreak/>
        <w:t xml:space="preserve">indictment of Luna </w:t>
      </w:r>
      <w:r w:rsidR="00CB19E9" w:rsidRPr="00EF782A">
        <w:rPr>
          <w:rFonts w:ascii="Times New Roman" w:hAnsi="Times New Roman" w:cs="Times New Roman"/>
          <w:sz w:val="24"/>
          <w:szCs w:val="24"/>
        </w:rPr>
        <w:t xml:space="preserve">rests on </w:t>
      </w:r>
      <w:r w:rsidR="00271077" w:rsidRPr="00EF782A">
        <w:rPr>
          <w:rFonts w:ascii="Times New Roman" w:hAnsi="Times New Roman" w:cs="Times New Roman"/>
          <w:sz w:val="24"/>
          <w:szCs w:val="24"/>
        </w:rPr>
        <w:t>a</w:t>
      </w:r>
      <w:r w:rsidR="00CB19E9" w:rsidRPr="00EF782A">
        <w:rPr>
          <w:rFonts w:ascii="Times New Roman" w:hAnsi="Times New Roman" w:cs="Times New Roman"/>
          <w:sz w:val="24"/>
          <w:szCs w:val="24"/>
        </w:rPr>
        <w:t xml:space="preserve"> claim </w:t>
      </w:r>
      <w:r w:rsidR="00271077" w:rsidRPr="00EF782A">
        <w:rPr>
          <w:rFonts w:ascii="Times New Roman" w:hAnsi="Times New Roman" w:cs="Times New Roman"/>
          <w:sz w:val="24"/>
          <w:szCs w:val="24"/>
        </w:rPr>
        <w:t>about the correspondence of</w:t>
      </w:r>
      <w:r w:rsidR="00CB19E9" w:rsidRPr="00EF782A">
        <w:rPr>
          <w:rFonts w:ascii="Times New Roman" w:hAnsi="Times New Roman" w:cs="Times New Roman"/>
          <w:sz w:val="24"/>
          <w:szCs w:val="24"/>
        </w:rPr>
        <w:t xml:space="preserve"> different </w:t>
      </w:r>
      <w:r w:rsidR="00271077" w:rsidRPr="00EF782A">
        <w:rPr>
          <w:rFonts w:ascii="Times New Roman" w:hAnsi="Times New Roman" w:cs="Times New Roman"/>
          <w:sz w:val="24"/>
          <w:szCs w:val="24"/>
        </w:rPr>
        <w:t xml:space="preserve">standards of treatments to different </w:t>
      </w:r>
      <w:r w:rsidR="00DA3D99" w:rsidRPr="00EF782A">
        <w:rPr>
          <w:rFonts w:ascii="Times New Roman" w:hAnsi="Times New Roman" w:cs="Times New Roman"/>
          <w:sz w:val="24"/>
          <w:szCs w:val="24"/>
        </w:rPr>
        <w:t xml:space="preserve">religious groups. </w:t>
      </w:r>
      <w:r w:rsidR="007F4350" w:rsidRPr="00EF782A">
        <w:rPr>
          <w:rFonts w:ascii="Times New Roman" w:hAnsi="Times New Roman" w:cs="Times New Roman"/>
          <w:sz w:val="24"/>
          <w:szCs w:val="24"/>
        </w:rPr>
        <w:t>The outrage over having been</w:t>
      </w:r>
      <w:r w:rsidR="00A9371B" w:rsidRPr="00EF782A">
        <w:rPr>
          <w:rFonts w:ascii="Times New Roman" w:hAnsi="Times New Roman" w:cs="Times New Roman"/>
          <w:sz w:val="24"/>
          <w:szCs w:val="24"/>
        </w:rPr>
        <w:t xml:space="preserve"> harmed, robbed, and</w:t>
      </w:r>
      <w:r w:rsidR="007F4350" w:rsidRPr="00EF782A">
        <w:rPr>
          <w:rFonts w:ascii="Times New Roman" w:hAnsi="Times New Roman" w:cs="Times New Roman"/>
          <w:sz w:val="24"/>
          <w:szCs w:val="24"/>
        </w:rPr>
        <w:t xml:space="preserve"> laid waste to </w:t>
      </w:r>
      <w:r w:rsidR="00A9371B" w:rsidRPr="00EF782A">
        <w:rPr>
          <w:rFonts w:ascii="Times New Roman" w:hAnsi="Times New Roman" w:cs="Times New Roman"/>
          <w:sz w:val="24"/>
          <w:szCs w:val="24"/>
        </w:rPr>
        <w:t xml:space="preserve">at the same time </w:t>
      </w:r>
      <w:r w:rsidR="00A30225" w:rsidRPr="00EF782A">
        <w:rPr>
          <w:rFonts w:ascii="Times New Roman" w:hAnsi="Times New Roman" w:cs="Times New Roman"/>
          <w:sz w:val="24"/>
          <w:szCs w:val="24"/>
        </w:rPr>
        <w:t xml:space="preserve">authorizes such actions </w:t>
      </w:r>
      <w:r w:rsidR="0039091B" w:rsidRPr="00EF782A">
        <w:rPr>
          <w:rFonts w:ascii="Times New Roman" w:hAnsi="Times New Roman" w:cs="Times New Roman"/>
          <w:sz w:val="24"/>
          <w:szCs w:val="24"/>
        </w:rPr>
        <w:t>toward Moorish</w:t>
      </w:r>
      <w:r w:rsidR="00980290" w:rsidRPr="00EF782A">
        <w:rPr>
          <w:rFonts w:ascii="Times New Roman" w:hAnsi="Times New Roman" w:cs="Times New Roman"/>
          <w:sz w:val="24"/>
          <w:szCs w:val="24"/>
        </w:rPr>
        <w:t xml:space="preserve"> enemies.</w:t>
      </w:r>
      <w:r w:rsidR="00757818" w:rsidRPr="00EF782A">
        <w:rPr>
          <w:rFonts w:ascii="Times New Roman" w:hAnsi="Times New Roman" w:cs="Times New Roman"/>
          <w:sz w:val="24"/>
          <w:szCs w:val="24"/>
        </w:rPr>
        <w:t xml:space="preserve"> </w:t>
      </w:r>
      <w:r w:rsidR="00516898" w:rsidRPr="00EF782A">
        <w:rPr>
          <w:rFonts w:ascii="Times New Roman" w:hAnsi="Times New Roman" w:cs="Times New Roman"/>
          <w:sz w:val="24"/>
          <w:szCs w:val="24"/>
        </w:rPr>
        <w:t xml:space="preserve">This glimpse into the relationship between </w:t>
      </w:r>
      <w:r w:rsidR="009E6E91" w:rsidRPr="00EF782A">
        <w:rPr>
          <w:rFonts w:ascii="Times New Roman" w:hAnsi="Times New Roman" w:cs="Times New Roman"/>
          <w:sz w:val="24"/>
          <w:szCs w:val="24"/>
        </w:rPr>
        <w:t xml:space="preserve">religious difference and </w:t>
      </w:r>
      <w:r w:rsidR="009B7721" w:rsidRPr="00EF782A">
        <w:rPr>
          <w:rFonts w:ascii="Times New Roman" w:hAnsi="Times New Roman" w:cs="Times New Roman"/>
          <w:sz w:val="24"/>
          <w:szCs w:val="24"/>
        </w:rPr>
        <w:t xml:space="preserve">the legitimacy of </w:t>
      </w:r>
      <w:r w:rsidR="00AF539B" w:rsidRPr="00EF782A">
        <w:rPr>
          <w:rFonts w:ascii="Times New Roman" w:hAnsi="Times New Roman" w:cs="Times New Roman"/>
          <w:sz w:val="24"/>
          <w:szCs w:val="24"/>
        </w:rPr>
        <w:t xml:space="preserve">violence </w:t>
      </w:r>
      <w:r w:rsidR="00C90F3B" w:rsidRPr="00EF782A">
        <w:rPr>
          <w:rFonts w:ascii="Times New Roman" w:hAnsi="Times New Roman" w:cs="Times New Roman"/>
          <w:sz w:val="24"/>
          <w:szCs w:val="24"/>
        </w:rPr>
        <w:t>can remind of us of the centrality of categories of unbelief</w:t>
      </w:r>
      <w:r w:rsidR="005338F5">
        <w:rPr>
          <w:rFonts w:ascii="Times New Roman" w:hAnsi="Times New Roman" w:cs="Times New Roman"/>
          <w:sz w:val="24"/>
          <w:szCs w:val="24"/>
        </w:rPr>
        <w:t xml:space="preserve"> had</w:t>
      </w:r>
      <w:r w:rsidR="00C90F3B" w:rsidRPr="00EF782A">
        <w:rPr>
          <w:rFonts w:ascii="Times New Roman" w:hAnsi="Times New Roman" w:cs="Times New Roman"/>
          <w:sz w:val="24"/>
          <w:szCs w:val="24"/>
        </w:rPr>
        <w:t xml:space="preserve"> </w:t>
      </w:r>
      <w:r w:rsidR="00617080" w:rsidRPr="00EF782A">
        <w:rPr>
          <w:rFonts w:ascii="Times New Roman" w:hAnsi="Times New Roman" w:cs="Times New Roman"/>
          <w:sz w:val="24"/>
          <w:szCs w:val="24"/>
        </w:rPr>
        <w:t>in legitimating (Re)Conquest.</w:t>
      </w:r>
    </w:p>
    <w:p w14:paraId="6CAE1262" w14:textId="77777777" w:rsidR="00EC30B1" w:rsidRDefault="008A18F4"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Approached prismatically, </w:t>
      </w:r>
      <w:r w:rsidR="00FE0B03" w:rsidRPr="00EF782A">
        <w:rPr>
          <w:rFonts w:ascii="Times New Roman" w:hAnsi="Times New Roman" w:cs="Times New Roman"/>
          <w:sz w:val="24"/>
          <w:szCs w:val="24"/>
        </w:rPr>
        <w:t xml:space="preserve">the </w:t>
      </w:r>
      <w:r w:rsidR="00FE0B03" w:rsidRPr="00EF782A">
        <w:rPr>
          <w:rFonts w:ascii="Times New Roman" w:hAnsi="Times New Roman" w:cs="Times New Roman"/>
          <w:i/>
          <w:sz w:val="24"/>
          <w:szCs w:val="24"/>
        </w:rPr>
        <w:t>Sentencia-Estatuto</w:t>
      </w:r>
      <w:r w:rsidR="00FE0B03" w:rsidRPr="00EF782A">
        <w:rPr>
          <w:rFonts w:ascii="Times New Roman" w:hAnsi="Times New Roman" w:cs="Times New Roman"/>
          <w:sz w:val="24"/>
          <w:szCs w:val="24"/>
        </w:rPr>
        <w:t xml:space="preserve"> can be shown to participate in </w:t>
      </w:r>
      <w:r w:rsidR="00744170" w:rsidRPr="00EF782A">
        <w:rPr>
          <w:rFonts w:ascii="Times New Roman" w:hAnsi="Times New Roman" w:cs="Times New Roman"/>
          <w:sz w:val="24"/>
          <w:szCs w:val="24"/>
        </w:rPr>
        <w:t xml:space="preserve">a variety of histories. </w:t>
      </w:r>
      <w:r w:rsidR="00C65276" w:rsidRPr="00EF782A">
        <w:rPr>
          <w:rFonts w:ascii="Times New Roman" w:hAnsi="Times New Roman" w:cs="Times New Roman"/>
          <w:sz w:val="24"/>
          <w:szCs w:val="24"/>
        </w:rPr>
        <w:t xml:space="preserve">This is not </w:t>
      </w:r>
      <w:r w:rsidR="00F352DA" w:rsidRPr="00EF782A">
        <w:rPr>
          <w:rFonts w:ascii="Times New Roman" w:hAnsi="Times New Roman" w:cs="Times New Roman"/>
          <w:sz w:val="24"/>
          <w:szCs w:val="24"/>
        </w:rPr>
        <w:t xml:space="preserve">at odds with </w:t>
      </w:r>
      <w:r w:rsidR="00430DB7" w:rsidRPr="00EF782A">
        <w:rPr>
          <w:rFonts w:ascii="Times New Roman" w:hAnsi="Times New Roman" w:cs="Times New Roman"/>
          <w:sz w:val="24"/>
          <w:szCs w:val="24"/>
        </w:rPr>
        <w:t xml:space="preserve">recognizing the </w:t>
      </w:r>
      <w:r w:rsidR="008965B0" w:rsidRPr="00EF782A">
        <w:rPr>
          <w:rFonts w:ascii="Times New Roman" w:hAnsi="Times New Roman" w:cs="Times New Roman"/>
          <w:sz w:val="24"/>
          <w:szCs w:val="24"/>
        </w:rPr>
        <w:t>transformation in the conceptualizati</w:t>
      </w:r>
      <w:r w:rsidR="00B97243">
        <w:rPr>
          <w:rFonts w:ascii="Times New Roman" w:hAnsi="Times New Roman" w:cs="Times New Roman"/>
          <w:sz w:val="24"/>
          <w:szCs w:val="24"/>
        </w:rPr>
        <w:t>on of difference that it enabled</w:t>
      </w:r>
      <w:r w:rsidR="008965B0" w:rsidRPr="00EF782A">
        <w:rPr>
          <w:rFonts w:ascii="Times New Roman" w:hAnsi="Times New Roman" w:cs="Times New Roman"/>
          <w:sz w:val="24"/>
          <w:szCs w:val="24"/>
        </w:rPr>
        <w:t xml:space="preserve">. </w:t>
      </w:r>
      <w:r w:rsidR="005171AF" w:rsidRPr="00EF782A">
        <w:rPr>
          <w:rFonts w:ascii="Times New Roman" w:hAnsi="Times New Roman" w:cs="Times New Roman"/>
          <w:sz w:val="24"/>
          <w:szCs w:val="24"/>
        </w:rPr>
        <w:t xml:space="preserve">The transformation itself can only be effected </w:t>
      </w:r>
      <w:r w:rsidR="000C46C3" w:rsidRPr="00EF782A">
        <w:rPr>
          <w:rFonts w:ascii="Times New Roman" w:hAnsi="Times New Roman" w:cs="Times New Roman"/>
          <w:sz w:val="24"/>
          <w:szCs w:val="24"/>
        </w:rPr>
        <w:t xml:space="preserve">by making use of </w:t>
      </w:r>
      <w:r w:rsidR="00644487" w:rsidRPr="00EF782A">
        <w:rPr>
          <w:rFonts w:ascii="Times New Roman" w:hAnsi="Times New Roman" w:cs="Times New Roman"/>
          <w:sz w:val="24"/>
          <w:szCs w:val="24"/>
        </w:rPr>
        <w:t xml:space="preserve">the context in which it arises. </w:t>
      </w:r>
      <w:r w:rsidR="00633934" w:rsidRPr="00EF782A">
        <w:rPr>
          <w:rFonts w:ascii="Times New Roman" w:hAnsi="Times New Roman" w:cs="Times New Roman"/>
          <w:sz w:val="24"/>
          <w:szCs w:val="24"/>
        </w:rPr>
        <w:t>I</w:t>
      </w:r>
      <w:r w:rsidR="00EC30B1" w:rsidRPr="00EF782A">
        <w:rPr>
          <w:rFonts w:ascii="Times New Roman" w:hAnsi="Times New Roman" w:cs="Times New Roman"/>
          <w:sz w:val="24"/>
          <w:szCs w:val="24"/>
        </w:rPr>
        <w:t>t would be a mistake to take a continuity in certain discursive modes of articulating difference as proof that an epistemic shift has not taken place. We should not expect that an epistemic shift would arrive with a complete, ready-made, new discursive apparatus. Without mobilizing existing tropes, it is hard to imagine how a new episteme would gain any purchase. Though difference continued to be expressed through a religious vocabulary, both the episteme and the social relations were importantly transformed. Beneath the apparent continuity of a world made up of Christians, Jews, Moors, conversos, and moriscos, the gravitational center that produced and sustained the categories of difference had shifted.</w:t>
      </w:r>
    </w:p>
    <w:p w14:paraId="6D0421F9" w14:textId="77777777" w:rsidR="00CF1E68" w:rsidRDefault="00CF1E68" w:rsidP="00CF1E68">
      <w:pPr>
        <w:spacing w:after="0" w:line="480" w:lineRule="auto"/>
        <w:rPr>
          <w:rFonts w:ascii="Times New Roman" w:hAnsi="Times New Roman" w:cs="Times New Roman"/>
          <w:sz w:val="24"/>
          <w:szCs w:val="24"/>
        </w:rPr>
      </w:pPr>
    </w:p>
    <w:p w14:paraId="52984EB5" w14:textId="77777777" w:rsidR="00CF1E68" w:rsidRPr="00763067" w:rsidRDefault="00763067" w:rsidP="00CF1E68">
      <w:pPr>
        <w:spacing w:after="0" w:line="480" w:lineRule="auto"/>
        <w:rPr>
          <w:rFonts w:ascii="Times New Roman" w:hAnsi="Times New Roman" w:cs="Times New Roman"/>
          <w:b/>
          <w:i/>
          <w:sz w:val="24"/>
          <w:szCs w:val="24"/>
        </w:rPr>
      </w:pPr>
      <w:r>
        <w:rPr>
          <w:rFonts w:ascii="Times New Roman" w:hAnsi="Times New Roman" w:cs="Times New Roman"/>
          <w:b/>
          <w:sz w:val="24"/>
          <w:szCs w:val="24"/>
        </w:rPr>
        <w:t xml:space="preserve">Responses to the </w:t>
      </w:r>
      <w:r>
        <w:rPr>
          <w:rFonts w:ascii="Times New Roman" w:hAnsi="Times New Roman" w:cs="Times New Roman"/>
          <w:b/>
          <w:i/>
          <w:sz w:val="24"/>
          <w:szCs w:val="24"/>
        </w:rPr>
        <w:t>Sentencia-Estatuto</w:t>
      </w:r>
    </w:p>
    <w:p w14:paraId="38105C55" w14:textId="77777777" w:rsidR="00C9628F" w:rsidRPr="00EF782A" w:rsidRDefault="00324433"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t xml:space="preserve">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presented a transformation of the temporality in which difference was expressed. Though conversos had been subjected to various forms of scrutiny, the idea of withholding the ability to enjoy the full rights of a Christian subject from them and their descendants in perpetuity posed a fundamental challenge to the dominant religious episteme.</w:t>
      </w:r>
      <w:r w:rsidR="00BE7E12" w:rsidRPr="00EF782A">
        <w:rPr>
          <w:rFonts w:ascii="Times New Roman" w:hAnsi="Times New Roman" w:cs="Times New Roman"/>
          <w:sz w:val="24"/>
          <w:szCs w:val="24"/>
        </w:rPr>
        <w:t xml:space="preserve"> The recognition </w:t>
      </w:r>
      <w:r w:rsidR="00BA0483" w:rsidRPr="00EF782A">
        <w:rPr>
          <w:rFonts w:ascii="Times New Roman" w:hAnsi="Times New Roman" w:cs="Times New Roman"/>
          <w:sz w:val="24"/>
          <w:szCs w:val="24"/>
        </w:rPr>
        <w:t xml:space="preserve">of how deep a challenge it posed can be read in the responses to it. </w:t>
      </w:r>
      <w:r w:rsidR="00AB64D3" w:rsidRPr="00EF782A">
        <w:rPr>
          <w:rFonts w:ascii="Times New Roman" w:hAnsi="Times New Roman" w:cs="Times New Roman"/>
          <w:sz w:val="24"/>
          <w:szCs w:val="24"/>
        </w:rPr>
        <w:t xml:space="preserve">The earliest </w:t>
      </w:r>
      <w:r w:rsidR="00AB64D3" w:rsidRPr="00EF782A">
        <w:rPr>
          <w:rFonts w:ascii="Times New Roman" w:hAnsi="Times New Roman" w:cs="Times New Roman"/>
          <w:sz w:val="24"/>
          <w:szCs w:val="24"/>
        </w:rPr>
        <w:lastRenderedPageBreak/>
        <w:t xml:space="preserve">response appears </w:t>
      </w:r>
      <w:r w:rsidR="000F048F" w:rsidRPr="00EF782A">
        <w:rPr>
          <w:rFonts w:ascii="Times New Roman" w:hAnsi="Times New Roman" w:cs="Times New Roman"/>
          <w:sz w:val="24"/>
          <w:szCs w:val="24"/>
        </w:rPr>
        <w:t>on the 28</w:t>
      </w:r>
      <w:r w:rsidR="000F048F" w:rsidRPr="00EF782A">
        <w:rPr>
          <w:rFonts w:ascii="Times New Roman" w:hAnsi="Times New Roman" w:cs="Times New Roman"/>
          <w:sz w:val="24"/>
          <w:szCs w:val="24"/>
          <w:vertAlign w:val="superscript"/>
        </w:rPr>
        <w:t>th</w:t>
      </w:r>
      <w:r w:rsidR="000F048F" w:rsidRPr="00EF782A">
        <w:rPr>
          <w:rFonts w:ascii="Times New Roman" w:hAnsi="Times New Roman" w:cs="Times New Roman"/>
          <w:sz w:val="24"/>
          <w:szCs w:val="24"/>
        </w:rPr>
        <w:t xml:space="preserve"> of August in the form of a sermon commissioned by </w:t>
      </w:r>
      <w:r w:rsidR="00BA39F3" w:rsidRPr="00EF782A">
        <w:rPr>
          <w:rFonts w:ascii="Times New Roman" w:hAnsi="Times New Roman" w:cs="Times New Roman"/>
          <w:sz w:val="24"/>
          <w:szCs w:val="24"/>
        </w:rPr>
        <w:t xml:space="preserve">Juan II. The </w:t>
      </w:r>
      <w:r w:rsidR="00BA39F3" w:rsidRPr="00EF782A">
        <w:rPr>
          <w:rFonts w:ascii="Times New Roman" w:hAnsi="Times New Roman" w:cs="Times New Roman"/>
          <w:i/>
          <w:sz w:val="24"/>
          <w:szCs w:val="24"/>
        </w:rPr>
        <w:t>Sermo in dei Beati Augustini</w:t>
      </w:r>
      <w:r w:rsidR="00582718" w:rsidRPr="00EF782A">
        <w:rPr>
          <w:rFonts w:ascii="Times New Roman" w:hAnsi="Times New Roman" w:cs="Times New Roman"/>
          <w:sz w:val="24"/>
          <w:szCs w:val="24"/>
        </w:rPr>
        <w:t xml:space="preserve"> </w:t>
      </w:r>
      <w:r w:rsidR="00C9628F" w:rsidRPr="00EF782A">
        <w:rPr>
          <w:rFonts w:ascii="Times New Roman" w:hAnsi="Times New Roman" w:cs="Times New Roman"/>
          <w:sz w:val="24"/>
          <w:szCs w:val="24"/>
        </w:rPr>
        <w:t xml:space="preserve">affirms the place of conversos within the Christian community, </w:t>
      </w:r>
      <w:r w:rsidR="005E3EE9" w:rsidRPr="00EF782A">
        <w:rPr>
          <w:rFonts w:ascii="Times New Roman" w:hAnsi="Times New Roman" w:cs="Times New Roman"/>
          <w:sz w:val="24"/>
          <w:szCs w:val="24"/>
        </w:rPr>
        <w:t xml:space="preserve">speaking of </w:t>
      </w:r>
      <w:r w:rsidR="002D13C4" w:rsidRPr="00EF782A">
        <w:rPr>
          <w:rFonts w:ascii="Times New Roman" w:hAnsi="Times New Roman" w:cs="Times New Roman"/>
          <w:sz w:val="24"/>
          <w:szCs w:val="24"/>
        </w:rPr>
        <w:t>them as the diverse limbs which make up the</w:t>
      </w:r>
      <w:r w:rsidR="005E3EE9" w:rsidRPr="00EF782A">
        <w:rPr>
          <w:rFonts w:ascii="Times New Roman" w:hAnsi="Times New Roman" w:cs="Times New Roman"/>
          <w:sz w:val="24"/>
          <w:szCs w:val="24"/>
        </w:rPr>
        <w:t xml:space="preserve"> </w:t>
      </w:r>
      <w:r w:rsidR="002D13C4" w:rsidRPr="00EF782A">
        <w:rPr>
          <w:rFonts w:ascii="Times New Roman" w:hAnsi="Times New Roman" w:cs="Times New Roman"/>
          <w:sz w:val="24"/>
          <w:szCs w:val="24"/>
        </w:rPr>
        <w:t xml:space="preserve">mystic </w:t>
      </w:r>
      <w:r w:rsidR="005E3EE9" w:rsidRPr="00EF782A">
        <w:rPr>
          <w:rFonts w:ascii="Times New Roman" w:hAnsi="Times New Roman" w:cs="Times New Roman"/>
          <w:sz w:val="24"/>
          <w:szCs w:val="24"/>
        </w:rPr>
        <w:t>body of Christ and declaiming those who sought to dismember it.</w:t>
      </w:r>
      <w:r w:rsidR="005E3EE9" w:rsidRPr="00EF782A">
        <w:rPr>
          <w:rStyle w:val="FootnoteReference"/>
          <w:rFonts w:ascii="Times New Roman" w:hAnsi="Times New Roman" w:cs="Times New Roman"/>
          <w:sz w:val="24"/>
          <w:szCs w:val="24"/>
        </w:rPr>
        <w:footnoteReference w:id="36"/>
      </w:r>
      <w:r w:rsidR="005E3EE9" w:rsidRPr="00EF782A">
        <w:rPr>
          <w:rFonts w:ascii="Times New Roman" w:hAnsi="Times New Roman" w:cs="Times New Roman"/>
          <w:sz w:val="24"/>
          <w:szCs w:val="24"/>
        </w:rPr>
        <w:t xml:space="preserve"> </w:t>
      </w:r>
      <w:r w:rsidR="002D13C4" w:rsidRPr="00EF782A">
        <w:rPr>
          <w:rFonts w:ascii="Times New Roman" w:hAnsi="Times New Roman" w:cs="Times New Roman"/>
          <w:sz w:val="24"/>
          <w:szCs w:val="24"/>
        </w:rPr>
        <w:t xml:space="preserve">The </w:t>
      </w:r>
      <w:r w:rsidR="002D13C4" w:rsidRPr="00EF782A">
        <w:rPr>
          <w:rFonts w:ascii="Times New Roman" w:hAnsi="Times New Roman" w:cs="Times New Roman"/>
          <w:i/>
          <w:sz w:val="24"/>
          <w:szCs w:val="24"/>
        </w:rPr>
        <w:t>Sermo</w:t>
      </w:r>
      <w:r w:rsidR="002D13C4" w:rsidRPr="00EF782A">
        <w:rPr>
          <w:rFonts w:ascii="Times New Roman" w:hAnsi="Times New Roman" w:cs="Times New Roman"/>
          <w:sz w:val="24"/>
          <w:szCs w:val="24"/>
        </w:rPr>
        <w:t xml:space="preserve"> </w:t>
      </w:r>
      <w:r w:rsidR="00B830FD" w:rsidRPr="00EF782A">
        <w:rPr>
          <w:rFonts w:ascii="Times New Roman" w:hAnsi="Times New Roman" w:cs="Times New Roman"/>
          <w:sz w:val="24"/>
          <w:szCs w:val="24"/>
        </w:rPr>
        <w:t>argues forcefully against</w:t>
      </w:r>
      <w:r w:rsidR="004571C0" w:rsidRPr="00EF782A">
        <w:rPr>
          <w:rFonts w:ascii="Times New Roman" w:hAnsi="Times New Roman" w:cs="Times New Roman"/>
          <w:sz w:val="24"/>
          <w:szCs w:val="24"/>
        </w:rPr>
        <w:t xml:space="preserve"> </w:t>
      </w:r>
      <w:r w:rsidR="00B830FD" w:rsidRPr="00EF782A">
        <w:rPr>
          <w:rFonts w:ascii="Times New Roman" w:hAnsi="Times New Roman" w:cs="Times New Roman"/>
          <w:sz w:val="24"/>
          <w:szCs w:val="24"/>
        </w:rPr>
        <w:t>drawing any type of distinction between Christians on the basis that the Church is a universal</w:t>
      </w:r>
      <w:r w:rsidR="00E409D8" w:rsidRPr="00EF782A">
        <w:rPr>
          <w:rFonts w:ascii="Times New Roman" w:hAnsi="Times New Roman" w:cs="Times New Roman"/>
          <w:sz w:val="24"/>
          <w:szCs w:val="24"/>
        </w:rPr>
        <w:t xml:space="preserve"> form of</w:t>
      </w:r>
      <w:r w:rsidR="00B830FD" w:rsidRPr="00EF782A">
        <w:rPr>
          <w:rFonts w:ascii="Times New Roman" w:hAnsi="Times New Roman" w:cs="Times New Roman"/>
          <w:sz w:val="24"/>
          <w:szCs w:val="24"/>
        </w:rPr>
        <w:t xml:space="preserve"> organization. “</w:t>
      </w:r>
      <w:r w:rsidR="00E409D8" w:rsidRPr="00EF782A">
        <w:rPr>
          <w:rFonts w:ascii="Times New Roman" w:hAnsi="Times New Roman" w:cs="Times New Roman"/>
          <w:sz w:val="24"/>
          <w:szCs w:val="24"/>
        </w:rPr>
        <w:t xml:space="preserve">For this </w:t>
      </w:r>
      <w:r w:rsidR="001B1461" w:rsidRPr="00EF782A">
        <w:rPr>
          <w:rFonts w:ascii="Times New Roman" w:hAnsi="Times New Roman" w:cs="Times New Roman"/>
          <w:sz w:val="24"/>
          <w:szCs w:val="24"/>
        </w:rPr>
        <w:t>reason,</w:t>
      </w:r>
      <w:r w:rsidR="00E409D8" w:rsidRPr="00EF782A">
        <w:rPr>
          <w:rFonts w:ascii="Times New Roman" w:hAnsi="Times New Roman" w:cs="Times New Roman"/>
          <w:sz w:val="24"/>
          <w:szCs w:val="24"/>
        </w:rPr>
        <w:t xml:space="preserve"> those who possess the faith in Our Lord Jesus Christ and are included in his Church are not called with the name of a specific nation or people, like others who have ruled the earth were accustomed to calling themselves. We are not designated Chaldeans, Persians, nor Greeks, Romans nor Hispanics, Jews nor Gentiles but instead with a general name, Christians, taken by Christ, redeemer of all...</w:t>
      </w:r>
      <w:r w:rsidR="00B830FD" w:rsidRPr="00EF782A">
        <w:rPr>
          <w:rFonts w:ascii="Times New Roman" w:hAnsi="Times New Roman" w:cs="Times New Roman"/>
          <w:sz w:val="24"/>
          <w:szCs w:val="24"/>
        </w:rPr>
        <w:t>”</w:t>
      </w:r>
      <w:r w:rsidR="00B830FD" w:rsidRPr="00EF782A">
        <w:rPr>
          <w:rStyle w:val="FootnoteReference"/>
          <w:rFonts w:ascii="Times New Roman" w:hAnsi="Times New Roman" w:cs="Times New Roman"/>
          <w:sz w:val="24"/>
          <w:szCs w:val="24"/>
        </w:rPr>
        <w:footnoteReference w:id="37"/>
      </w:r>
      <w:r w:rsidR="00E409D8" w:rsidRPr="00EF782A">
        <w:rPr>
          <w:rFonts w:ascii="Times New Roman" w:hAnsi="Times New Roman" w:cs="Times New Roman"/>
          <w:sz w:val="24"/>
          <w:szCs w:val="24"/>
        </w:rPr>
        <w:t xml:space="preserve"> It ends by charging the Toledan rebels, and Mo</w:t>
      </w:r>
      <w:r w:rsidR="00E73796" w:rsidRPr="00EF782A">
        <w:rPr>
          <w:rFonts w:ascii="Times New Roman" w:hAnsi="Times New Roman" w:cs="Times New Roman"/>
          <w:sz w:val="24"/>
          <w:szCs w:val="24"/>
        </w:rPr>
        <w:t>ra specifically, of holding five</w:t>
      </w:r>
      <w:r w:rsidR="00E409D8" w:rsidRPr="00EF782A">
        <w:rPr>
          <w:rFonts w:ascii="Times New Roman" w:hAnsi="Times New Roman" w:cs="Times New Roman"/>
          <w:sz w:val="24"/>
          <w:szCs w:val="24"/>
        </w:rPr>
        <w:t xml:space="preserve"> here</w:t>
      </w:r>
      <w:r w:rsidR="00E73796" w:rsidRPr="00EF782A">
        <w:rPr>
          <w:rFonts w:ascii="Times New Roman" w:hAnsi="Times New Roman" w:cs="Times New Roman"/>
          <w:sz w:val="24"/>
          <w:szCs w:val="24"/>
        </w:rPr>
        <w:t>tical propositions. The first three</w:t>
      </w:r>
      <w:r w:rsidR="00E409D8" w:rsidRPr="00EF782A">
        <w:rPr>
          <w:rFonts w:ascii="Times New Roman" w:hAnsi="Times New Roman" w:cs="Times New Roman"/>
          <w:sz w:val="24"/>
          <w:szCs w:val="24"/>
        </w:rPr>
        <w:t xml:space="preserve"> regard their treatment of the king and the disregard for his authority. </w:t>
      </w:r>
      <w:r w:rsidR="00E73796" w:rsidRPr="00EF782A">
        <w:rPr>
          <w:rFonts w:ascii="Times New Roman" w:hAnsi="Times New Roman" w:cs="Times New Roman"/>
          <w:sz w:val="24"/>
          <w:szCs w:val="24"/>
        </w:rPr>
        <w:t>The fourth is the establishment of distinctions between Jews and Gentiles after these have been baptized, and the fifth is casting doubts over the sincerity of conversos’ beliefs and depriving them of legal rights.</w:t>
      </w:r>
      <w:r w:rsidR="00E73796" w:rsidRPr="00EF782A">
        <w:rPr>
          <w:rStyle w:val="FootnoteReference"/>
          <w:rFonts w:ascii="Times New Roman" w:hAnsi="Times New Roman" w:cs="Times New Roman"/>
          <w:sz w:val="24"/>
          <w:szCs w:val="24"/>
        </w:rPr>
        <w:footnoteReference w:id="38"/>
      </w:r>
    </w:p>
    <w:p w14:paraId="66B2F5E7" w14:textId="77777777" w:rsidR="004006D0" w:rsidRPr="00EF782A" w:rsidRDefault="000D3B59"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t xml:space="preserve">The </w:t>
      </w:r>
      <w:r w:rsidRPr="00EF782A">
        <w:rPr>
          <w:rFonts w:ascii="Times New Roman" w:hAnsi="Times New Roman" w:cs="Times New Roman"/>
          <w:i/>
          <w:sz w:val="24"/>
          <w:szCs w:val="24"/>
        </w:rPr>
        <w:t>Sermo</w:t>
      </w:r>
      <w:r w:rsidRPr="00EF782A">
        <w:rPr>
          <w:rFonts w:ascii="Times New Roman" w:hAnsi="Times New Roman" w:cs="Times New Roman"/>
          <w:sz w:val="24"/>
          <w:szCs w:val="24"/>
        </w:rPr>
        <w:t xml:space="preserve"> was soon followed by three bulls issued by Pope Nicolas V in September, 1449. </w:t>
      </w:r>
      <w:r w:rsidR="004B0D95" w:rsidRPr="00EF782A">
        <w:rPr>
          <w:rFonts w:ascii="Times New Roman" w:hAnsi="Times New Roman" w:cs="Times New Roman"/>
          <w:i/>
          <w:sz w:val="24"/>
          <w:szCs w:val="24"/>
        </w:rPr>
        <w:t>Humani generis inimicus</w:t>
      </w:r>
      <w:r w:rsidR="004B0D95" w:rsidRPr="00EF782A">
        <w:rPr>
          <w:rFonts w:ascii="Times New Roman" w:hAnsi="Times New Roman" w:cs="Times New Roman"/>
          <w:sz w:val="24"/>
          <w:szCs w:val="24"/>
        </w:rPr>
        <w:t xml:space="preserve">, </w:t>
      </w:r>
      <w:r w:rsidR="004B0D95" w:rsidRPr="00EF782A">
        <w:rPr>
          <w:rFonts w:ascii="Times New Roman" w:hAnsi="Times New Roman" w:cs="Times New Roman"/>
          <w:i/>
          <w:sz w:val="24"/>
          <w:szCs w:val="24"/>
        </w:rPr>
        <w:t>Si ad reprimendas</w:t>
      </w:r>
      <w:r w:rsidR="004B0D95" w:rsidRPr="00EF782A">
        <w:rPr>
          <w:rFonts w:ascii="Times New Roman" w:hAnsi="Times New Roman" w:cs="Times New Roman"/>
          <w:sz w:val="24"/>
          <w:szCs w:val="24"/>
        </w:rPr>
        <w:t xml:space="preserve">, and </w:t>
      </w:r>
      <w:r w:rsidR="004B0D95" w:rsidRPr="00EF782A">
        <w:rPr>
          <w:rFonts w:ascii="Times New Roman" w:hAnsi="Times New Roman" w:cs="Times New Roman"/>
          <w:i/>
          <w:sz w:val="24"/>
          <w:szCs w:val="24"/>
        </w:rPr>
        <w:t>Nuper siquidem ad aures</w:t>
      </w:r>
      <w:r w:rsidR="004B0D95" w:rsidRPr="00EF782A">
        <w:rPr>
          <w:rFonts w:ascii="Times New Roman" w:hAnsi="Times New Roman" w:cs="Times New Roman"/>
          <w:sz w:val="24"/>
          <w:szCs w:val="24"/>
        </w:rPr>
        <w:t>.</w:t>
      </w:r>
      <w:r w:rsidR="005F5DF3" w:rsidRPr="00EF782A">
        <w:rPr>
          <w:rFonts w:ascii="Times New Roman" w:hAnsi="Times New Roman" w:cs="Times New Roman"/>
          <w:sz w:val="24"/>
          <w:szCs w:val="24"/>
        </w:rPr>
        <w:t xml:space="preserve"> These also affirmed the rights and privileges of conversos and </w:t>
      </w:r>
      <w:r w:rsidR="00264436" w:rsidRPr="00EF782A">
        <w:rPr>
          <w:rFonts w:ascii="Times New Roman" w:hAnsi="Times New Roman" w:cs="Times New Roman"/>
          <w:sz w:val="24"/>
          <w:szCs w:val="24"/>
        </w:rPr>
        <w:t xml:space="preserve">excommunicated </w:t>
      </w:r>
      <w:r w:rsidR="007146C2" w:rsidRPr="00EF782A">
        <w:rPr>
          <w:rFonts w:ascii="Times New Roman" w:hAnsi="Times New Roman" w:cs="Times New Roman"/>
          <w:sz w:val="24"/>
          <w:szCs w:val="24"/>
        </w:rPr>
        <w:t>those who participated in the Toledan rebellion.</w:t>
      </w:r>
      <w:r w:rsidR="007146C2" w:rsidRPr="00EF782A">
        <w:rPr>
          <w:rStyle w:val="FootnoteReference"/>
          <w:rFonts w:ascii="Times New Roman" w:hAnsi="Times New Roman" w:cs="Times New Roman"/>
          <w:sz w:val="24"/>
          <w:szCs w:val="24"/>
        </w:rPr>
        <w:footnoteReference w:id="39"/>
      </w:r>
      <w:r w:rsidR="007146C2" w:rsidRPr="00EF782A">
        <w:rPr>
          <w:rFonts w:ascii="Times New Roman" w:hAnsi="Times New Roman" w:cs="Times New Roman"/>
          <w:sz w:val="24"/>
          <w:szCs w:val="24"/>
        </w:rPr>
        <w:t xml:space="preserve"> </w:t>
      </w:r>
      <w:r w:rsidR="005E6B1A" w:rsidRPr="00EF782A">
        <w:rPr>
          <w:rFonts w:ascii="Times New Roman" w:hAnsi="Times New Roman" w:cs="Times New Roman"/>
          <w:sz w:val="24"/>
          <w:szCs w:val="24"/>
        </w:rPr>
        <w:t>The</w:t>
      </w:r>
      <w:r w:rsidR="00272552" w:rsidRPr="00EF782A">
        <w:rPr>
          <w:rFonts w:ascii="Times New Roman" w:hAnsi="Times New Roman" w:cs="Times New Roman"/>
          <w:sz w:val="24"/>
          <w:szCs w:val="24"/>
        </w:rPr>
        <w:t>se were followed by more</w:t>
      </w:r>
      <w:r w:rsidR="005E6B1A" w:rsidRPr="00EF782A">
        <w:rPr>
          <w:rFonts w:ascii="Times New Roman" w:hAnsi="Times New Roman" w:cs="Times New Roman"/>
          <w:sz w:val="24"/>
          <w:szCs w:val="24"/>
        </w:rPr>
        <w:t xml:space="preserve"> works challenging the doctrinal basis for </w:t>
      </w:r>
      <w:r w:rsidR="005E6B1A" w:rsidRPr="00EF782A">
        <w:rPr>
          <w:rFonts w:ascii="Times New Roman" w:hAnsi="Times New Roman" w:cs="Times New Roman"/>
          <w:sz w:val="24"/>
          <w:szCs w:val="24"/>
        </w:rPr>
        <w:lastRenderedPageBreak/>
        <w:t xml:space="preserve">the </w:t>
      </w:r>
      <w:r w:rsidR="005E6B1A" w:rsidRPr="00EF782A">
        <w:rPr>
          <w:rFonts w:ascii="Times New Roman" w:hAnsi="Times New Roman" w:cs="Times New Roman"/>
          <w:i/>
          <w:sz w:val="24"/>
          <w:szCs w:val="24"/>
        </w:rPr>
        <w:t>Sentencia-Estatuto</w:t>
      </w:r>
      <w:r w:rsidR="005E6B1A" w:rsidRPr="00EF782A">
        <w:rPr>
          <w:rFonts w:ascii="Times New Roman" w:hAnsi="Times New Roman" w:cs="Times New Roman"/>
          <w:sz w:val="24"/>
          <w:szCs w:val="24"/>
        </w:rPr>
        <w:t xml:space="preserve">, including </w:t>
      </w:r>
      <w:r w:rsidR="00272552" w:rsidRPr="00EF782A">
        <w:rPr>
          <w:rFonts w:ascii="Times New Roman" w:hAnsi="Times New Roman" w:cs="Times New Roman"/>
          <w:sz w:val="24"/>
          <w:szCs w:val="24"/>
        </w:rPr>
        <w:t>Mose Hamomo</w:t>
      </w:r>
      <w:r w:rsidR="005E6B1A" w:rsidRPr="00EF782A">
        <w:rPr>
          <w:rFonts w:ascii="Times New Roman" w:hAnsi="Times New Roman" w:cs="Times New Roman"/>
          <w:sz w:val="24"/>
          <w:szCs w:val="24"/>
        </w:rPr>
        <w:t xml:space="preserve">’s </w:t>
      </w:r>
      <w:r w:rsidR="005E6B1A" w:rsidRPr="00EF782A">
        <w:rPr>
          <w:rFonts w:ascii="Times New Roman" w:hAnsi="Times New Roman" w:cs="Times New Roman"/>
          <w:i/>
          <w:sz w:val="24"/>
          <w:szCs w:val="24"/>
        </w:rPr>
        <w:t>Instrucción del Relator</w:t>
      </w:r>
      <w:r w:rsidR="005E6B1A" w:rsidRPr="00EF782A">
        <w:rPr>
          <w:rFonts w:ascii="Times New Roman" w:hAnsi="Times New Roman" w:cs="Times New Roman"/>
          <w:sz w:val="24"/>
          <w:szCs w:val="24"/>
        </w:rPr>
        <w:t xml:space="preserve"> and</w:t>
      </w:r>
      <w:r w:rsidR="00272552" w:rsidRPr="00EF782A">
        <w:rPr>
          <w:rFonts w:ascii="Times New Roman" w:hAnsi="Times New Roman" w:cs="Times New Roman"/>
          <w:sz w:val="24"/>
          <w:szCs w:val="24"/>
        </w:rPr>
        <w:t xml:space="preserve"> its reformulation and expansion by</w:t>
      </w:r>
      <w:r w:rsidR="005E6B1A" w:rsidRPr="00EF782A">
        <w:rPr>
          <w:rFonts w:ascii="Times New Roman" w:hAnsi="Times New Roman" w:cs="Times New Roman"/>
          <w:sz w:val="24"/>
          <w:szCs w:val="24"/>
        </w:rPr>
        <w:t xml:space="preserve"> Lope de Barrientos</w:t>
      </w:r>
      <w:r w:rsidR="00272552" w:rsidRPr="00EF782A">
        <w:rPr>
          <w:rFonts w:ascii="Times New Roman" w:hAnsi="Times New Roman" w:cs="Times New Roman"/>
          <w:sz w:val="24"/>
          <w:szCs w:val="24"/>
        </w:rPr>
        <w:t xml:space="preserve"> in</w:t>
      </w:r>
      <w:r w:rsidR="005E6B1A" w:rsidRPr="00EF782A">
        <w:rPr>
          <w:rFonts w:ascii="Times New Roman" w:hAnsi="Times New Roman" w:cs="Times New Roman"/>
          <w:sz w:val="24"/>
          <w:szCs w:val="24"/>
        </w:rPr>
        <w:t xml:space="preserve"> </w:t>
      </w:r>
      <w:r w:rsidR="005E6B1A" w:rsidRPr="00EF782A">
        <w:rPr>
          <w:rFonts w:ascii="Times New Roman" w:hAnsi="Times New Roman" w:cs="Times New Roman"/>
          <w:i/>
          <w:sz w:val="24"/>
          <w:szCs w:val="24"/>
        </w:rPr>
        <w:t>Contra Algunos Çiçañadores de la Nación de los Convertidos del Pueblo de Israel</w:t>
      </w:r>
      <w:r w:rsidR="005E6B1A" w:rsidRPr="00EF782A">
        <w:rPr>
          <w:rFonts w:ascii="Times New Roman" w:hAnsi="Times New Roman" w:cs="Times New Roman"/>
          <w:sz w:val="24"/>
          <w:szCs w:val="24"/>
        </w:rPr>
        <w:t xml:space="preserve">. </w:t>
      </w:r>
      <w:r w:rsidR="00C31430" w:rsidRPr="00EF782A">
        <w:rPr>
          <w:rFonts w:ascii="Times New Roman" w:hAnsi="Times New Roman" w:cs="Times New Roman"/>
          <w:sz w:val="24"/>
          <w:szCs w:val="24"/>
        </w:rPr>
        <w:t>Barrientos ends the latter ends with a dig against Mo</w:t>
      </w:r>
      <w:r w:rsidR="00125BB5" w:rsidRPr="00EF782A">
        <w:rPr>
          <w:rFonts w:ascii="Times New Roman" w:hAnsi="Times New Roman" w:cs="Times New Roman"/>
          <w:sz w:val="24"/>
          <w:szCs w:val="24"/>
        </w:rPr>
        <w:t>ra</w:t>
      </w:r>
      <w:r w:rsidR="0072543D" w:rsidRPr="00EF782A">
        <w:rPr>
          <w:rFonts w:ascii="Times New Roman" w:hAnsi="Times New Roman" w:cs="Times New Roman"/>
          <w:sz w:val="24"/>
          <w:szCs w:val="24"/>
        </w:rPr>
        <w:t>’s own heritage</w:t>
      </w:r>
      <w:r w:rsidR="00125BB5" w:rsidRPr="00EF782A">
        <w:rPr>
          <w:rFonts w:ascii="Times New Roman" w:hAnsi="Times New Roman" w:cs="Times New Roman"/>
          <w:sz w:val="24"/>
          <w:szCs w:val="24"/>
        </w:rPr>
        <w:t xml:space="preserve">. After noting the multitude of noblemen </w:t>
      </w:r>
      <w:r w:rsidR="0072543D" w:rsidRPr="00EF782A">
        <w:rPr>
          <w:rFonts w:ascii="Times New Roman" w:hAnsi="Times New Roman" w:cs="Times New Roman"/>
          <w:sz w:val="24"/>
          <w:szCs w:val="24"/>
        </w:rPr>
        <w:t>“descended of Israelite lineage” he suggests that for those who blaspheme against them “</w:t>
      </w:r>
      <w:r w:rsidR="002A6F41" w:rsidRPr="00EF782A">
        <w:rPr>
          <w:rFonts w:ascii="Times New Roman" w:hAnsi="Times New Roman" w:cs="Times New Roman"/>
          <w:sz w:val="24"/>
          <w:szCs w:val="24"/>
        </w:rPr>
        <w:t xml:space="preserve">it would be best for them to dig, sow, and harvest, and do that sort of work, just as their parents, grandparents and ancestors did rather than </w:t>
      </w:r>
      <w:r w:rsidR="00646CD3" w:rsidRPr="00EF782A">
        <w:rPr>
          <w:rFonts w:ascii="Times New Roman" w:hAnsi="Times New Roman" w:cs="Times New Roman"/>
          <w:sz w:val="24"/>
          <w:szCs w:val="24"/>
        </w:rPr>
        <w:t>placing their sacrilegious excommunicated mouths on divine lineages...</w:t>
      </w:r>
      <w:r w:rsidR="0072543D" w:rsidRPr="00EF782A">
        <w:rPr>
          <w:rFonts w:ascii="Times New Roman" w:hAnsi="Times New Roman" w:cs="Times New Roman"/>
          <w:sz w:val="24"/>
          <w:szCs w:val="24"/>
        </w:rPr>
        <w:t>”</w:t>
      </w:r>
      <w:r w:rsidR="0072543D" w:rsidRPr="00EF782A">
        <w:rPr>
          <w:rStyle w:val="FootnoteReference"/>
          <w:rFonts w:ascii="Times New Roman" w:hAnsi="Times New Roman" w:cs="Times New Roman"/>
          <w:sz w:val="24"/>
          <w:szCs w:val="24"/>
        </w:rPr>
        <w:footnoteReference w:id="40"/>
      </w:r>
    </w:p>
    <w:p w14:paraId="7A9094A1" w14:textId="77777777" w:rsidR="00CD17DC" w:rsidRPr="00EF782A" w:rsidRDefault="00CD17DC" w:rsidP="00EF782A">
      <w:pPr>
        <w:spacing w:after="0" w:line="480" w:lineRule="auto"/>
        <w:rPr>
          <w:rFonts w:ascii="Times New Roman" w:hAnsi="Times New Roman" w:cs="Times New Roman"/>
          <w:sz w:val="24"/>
          <w:szCs w:val="24"/>
        </w:rPr>
      </w:pPr>
      <w:r w:rsidRPr="00EF782A">
        <w:rPr>
          <w:rFonts w:ascii="Times New Roman" w:hAnsi="Times New Roman" w:cs="Times New Roman"/>
          <w:sz w:val="24"/>
          <w:szCs w:val="24"/>
        </w:rPr>
        <w:tab/>
      </w:r>
      <w:r w:rsidRPr="00EF782A">
        <w:rPr>
          <w:rFonts w:ascii="Times New Roman" w:hAnsi="Times New Roman" w:cs="Times New Roman"/>
          <w:sz w:val="24"/>
          <w:szCs w:val="24"/>
          <w:lang w:val="es-MX"/>
        </w:rPr>
        <w:t xml:space="preserve">Mora responded with </w:t>
      </w:r>
      <w:r w:rsidR="008773BD" w:rsidRPr="00EF782A">
        <w:rPr>
          <w:rFonts w:ascii="Times New Roman" w:hAnsi="Times New Roman" w:cs="Times New Roman"/>
          <w:sz w:val="24"/>
          <w:szCs w:val="24"/>
          <w:lang w:val="es-MX"/>
        </w:rPr>
        <w:t>his</w:t>
      </w:r>
      <w:r w:rsidR="00540F4A" w:rsidRPr="00EF782A">
        <w:rPr>
          <w:rFonts w:ascii="Times New Roman" w:hAnsi="Times New Roman" w:cs="Times New Roman"/>
          <w:sz w:val="24"/>
          <w:szCs w:val="24"/>
          <w:lang w:val="es-MX"/>
        </w:rPr>
        <w:t xml:space="preserve"> </w:t>
      </w:r>
      <w:r w:rsidR="00540F4A" w:rsidRPr="00EF782A">
        <w:rPr>
          <w:rFonts w:ascii="Times New Roman" w:hAnsi="Times New Roman" w:cs="Times New Roman"/>
          <w:i/>
          <w:sz w:val="24"/>
          <w:szCs w:val="24"/>
          <w:lang w:val="es-MX"/>
        </w:rPr>
        <w:t>Apelación y Suplicación</w:t>
      </w:r>
      <w:r w:rsidR="0094675A" w:rsidRPr="00EF782A">
        <w:rPr>
          <w:rFonts w:ascii="Times New Roman" w:hAnsi="Times New Roman" w:cs="Times New Roman"/>
          <w:sz w:val="24"/>
          <w:szCs w:val="24"/>
          <w:lang w:val="es-MX"/>
        </w:rPr>
        <w:t>.</w:t>
      </w:r>
      <w:r w:rsidR="00562A99" w:rsidRPr="00EF782A">
        <w:rPr>
          <w:rStyle w:val="FootnoteReference"/>
          <w:rFonts w:ascii="Times New Roman" w:hAnsi="Times New Roman" w:cs="Times New Roman"/>
          <w:sz w:val="24"/>
          <w:szCs w:val="24"/>
          <w:lang w:val="es-MX"/>
        </w:rPr>
        <w:footnoteReference w:id="41"/>
      </w:r>
      <w:r w:rsidR="00540F4A" w:rsidRPr="00EF782A">
        <w:rPr>
          <w:rFonts w:ascii="Times New Roman" w:hAnsi="Times New Roman" w:cs="Times New Roman"/>
          <w:sz w:val="24"/>
          <w:szCs w:val="24"/>
          <w:lang w:val="es-MX"/>
        </w:rPr>
        <w:t xml:space="preserve"> </w:t>
      </w:r>
      <w:r w:rsidR="0094675A" w:rsidRPr="00EF782A">
        <w:rPr>
          <w:rFonts w:ascii="Times New Roman" w:hAnsi="Times New Roman" w:cs="Times New Roman"/>
          <w:sz w:val="24"/>
          <w:szCs w:val="24"/>
        </w:rPr>
        <w:t>Referring to conversos as “baptized Jews”</w:t>
      </w:r>
      <w:r w:rsidR="0095540F" w:rsidRPr="00EF782A">
        <w:rPr>
          <w:rStyle w:val="FootnoteReference"/>
          <w:rFonts w:ascii="Times New Roman" w:hAnsi="Times New Roman" w:cs="Times New Roman"/>
          <w:sz w:val="24"/>
          <w:szCs w:val="24"/>
          <w:lang w:val="es-MX"/>
        </w:rPr>
        <w:footnoteReference w:id="42"/>
      </w:r>
      <w:r w:rsidR="0094675A" w:rsidRPr="00EF782A">
        <w:rPr>
          <w:rFonts w:ascii="Times New Roman" w:hAnsi="Times New Roman" w:cs="Times New Roman"/>
          <w:sz w:val="24"/>
          <w:szCs w:val="24"/>
        </w:rPr>
        <w:t xml:space="preserve"> he </w:t>
      </w:r>
      <w:r w:rsidR="00272552" w:rsidRPr="00EF782A">
        <w:rPr>
          <w:rFonts w:ascii="Times New Roman" w:hAnsi="Times New Roman" w:cs="Times New Roman"/>
          <w:sz w:val="24"/>
          <w:szCs w:val="24"/>
        </w:rPr>
        <w:t xml:space="preserve">deployed the same arguments about their untrustworthiness and ancient enmity toward Old Christians that appeared in the </w:t>
      </w:r>
      <w:r w:rsidR="00272552" w:rsidRPr="00EF782A">
        <w:rPr>
          <w:rFonts w:ascii="Times New Roman" w:hAnsi="Times New Roman" w:cs="Times New Roman"/>
          <w:i/>
          <w:sz w:val="24"/>
          <w:szCs w:val="24"/>
        </w:rPr>
        <w:t xml:space="preserve">Suplicación </w:t>
      </w:r>
      <w:r w:rsidR="00272552" w:rsidRPr="00EF782A">
        <w:rPr>
          <w:rFonts w:ascii="Times New Roman" w:hAnsi="Times New Roman" w:cs="Times New Roman"/>
          <w:sz w:val="24"/>
          <w:szCs w:val="24"/>
        </w:rPr>
        <w:t xml:space="preserve">and the </w:t>
      </w:r>
      <w:r w:rsidR="00272552" w:rsidRPr="00EF782A">
        <w:rPr>
          <w:rFonts w:ascii="Times New Roman" w:hAnsi="Times New Roman" w:cs="Times New Roman"/>
          <w:i/>
          <w:sz w:val="24"/>
          <w:szCs w:val="24"/>
        </w:rPr>
        <w:t>Sentencia-Estatuto</w:t>
      </w:r>
      <w:r w:rsidR="00272552" w:rsidRPr="00EF782A">
        <w:rPr>
          <w:rFonts w:ascii="Times New Roman" w:hAnsi="Times New Roman" w:cs="Times New Roman"/>
          <w:sz w:val="24"/>
          <w:szCs w:val="24"/>
        </w:rPr>
        <w:t>.</w:t>
      </w:r>
      <w:r w:rsidR="00272552" w:rsidRPr="00EF782A">
        <w:rPr>
          <w:rStyle w:val="FootnoteReference"/>
          <w:rFonts w:ascii="Times New Roman" w:hAnsi="Times New Roman" w:cs="Times New Roman"/>
          <w:sz w:val="24"/>
          <w:szCs w:val="24"/>
        </w:rPr>
        <w:footnoteReference w:id="43"/>
      </w:r>
      <w:r w:rsidR="00272552" w:rsidRPr="00EF782A">
        <w:rPr>
          <w:rFonts w:ascii="Times New Roman" w:hAnsi="Times New Roman" w:cs="Times New Roman"/>
          <w:sz w:val="24"/>
          <w:szCs w:val="24"/>
        </w:rPr>
        <w:t xml:space="preserve"> </w:t>
      </w:r>
      <w:r w:rsidR="00826CE0" w:rsidRPr="00EF782A">
        <w:rPr>
          <w:rFonts w:ascii="Times New Roman" w:hAnsi="Times New Roman" w:cs="Times New Roman"/>
          <w:sz w:val="24"/>
          <w:szCs w:val="24"/>
        </w:rPr>
        <w:t xml:space="preserve">Dismissing the papal bulls </w:t>
      </w:r>
      <w:r w:rsidR="009814F5" w:rsidRPr="00EF782A">
        <w:rPr>
          <w:rFonts w:ascii="Times New Roman" w:hAnsi="Times New Roman" w:cs="Times New Roman"/>
          <w:sz w:val="24"/>
          <w:szCs w:val="24"/>
        </w:rPr>
        <w:t xml:space="preserve">as well as the various charges </w:t>
      </w:r>
      <w:r w:rsidR="006F140F" w:rsidRPr="00EF782A">
        <w:rPr>
          <w:rFonts w:ascii="Times New Roman" w:hAnsi="Times New Roman" w:cs="Times New Roman"/>
          <w:sz w:val="24"/>
          <w:szCs w:val="24"/>
        </w:rPr>
        <w:t>of transgressing against the king’s authority Mora</w:t>
      </w:r>
      <w:r w:rsidR="00826CE0" w:rsidRPr="00EF782A">
        <w:rPr>
          <w:rFonts w:ascii="Times New Roman" w:hAnsi="Times New Roman" w:cs="Times New Roman"/>
          <w:sz w:val="24"/>
          <w:szCs w:val="24"/>
        </w:rPr>
        <w:t xml:space="preserve"> insists that he is acting in accordance with a higher law.</w:t>
      </w:r>
      <w:r w:rsidR="006F140F" w:rsidRPr="00EF782A">
        <w:rPr>
          <w:rStyle w:val="FootnoteReference"/>
          <w:rFonts w:ascii="Times New Roman" w:hAnsi="Times New Roman" w:cs="Times New Roman"/>
          <w:sz w:val="24"/>
          <w:szCs w:val="24"/>
        </w:rPr>
        <w:footnoteReference w:id="44"/>
      </w:r>
      <w:r w:rsidR="00826CE0" w:rsidRPr="00EF782A">
        <w:rPr>
          <w:rFonts w:ascii="Times New Roman" w:hAnsi="Times New Roman" w:cs="Times New Roman"/>
          <w:sz w:val="24"/>
          <w:szCs w:val="24"/>
        </w:rPr>
        <w:t xml:space="preserve"> </w:t>
      </w:r>
      <w:r w:rsidR="008773BD" w:rsidRPr="00EF782A">
        <w:rPr>
          <w:rFonts w:ascii="Times New Roman" w:hAnsi="Times New Roman" w:cs="Times New Roman"/>
          <w:sz w:val="24"/>
          <w:szCs w:val="24"/>
        </w:rPr>
        <w:t>In regards to the digs made about his lineage he responded that “</w:t>
      </w:r>
      <w:r w:rsidR="005E0BFF" w:rsidRPr="00EF782A">
        <w:rPr>
          <w:rFonts w:ascii="Times New Roman" w:hAnsi="Times New Roman" w:cs="Times New Roman"/>
          <w:sz w:val="24"/>
          <w:szCs w:val="24"/>
        </w:rPr>
        <w:t xml:space="preserve">debating before God the nobility of lineage is nothing more than debating </w:t>
      </w:r>
      <w:r w:rsidR="006030AB" w:rsidRPr="00EF782A">
        <w:rPr>
          <w:rFonts w:ascii="Times New Roman" w:hAnsi="Times New Roman" w:cs="Times New Roman"/>
          <w:sz w:val="24"/>
          <w:szCs w:val="24"/>
        </w:rPr>
        <w:t>which rubbish pile has the best manure, for in terms of the human condition we are manure and ash...</w:t>
      </w:r>
      <w:r w:rsidR="008773BD" w:rsidRPr="00EF782A">
        <w:rPr>
          <w:rFonts w:ascii="Times New Roman" w:hAnsi="Times New Roman" w:cs="Times New Roman"/>
          <w:sz w:val="24"/>
          <w:szCs w:val="24"/>
        </w:rPr>
        <w:t>”</w:t>
      </w:r>
      <w:r w:rsidR="008773BD" w:rsidRPr="00EF782A">
        <w:rPr>
          <w:rStyle w:val="FootnoteReference"/>
          <w:rFonts w:ascii="Times New Roman" w:hAnsi="Times New Roman" w:cs="Times New Roman"/>
          <w:sz w:val="24"/>
          <w:szCs w:val="24"/>
        </w:rPr>
        <w:footnoteReference w:id="45"/>
      </w:r>
      <w:r w:rsidR="00A84959" w:rsidRPr="00EF782A">
        <w:rPr>
          <w:rFonts w:ascii="Times New Roman" w:hAnsi="Times New Roman" w:cs="Times New Roman"/>
          <w:sz w:val="24"/>
          <w:szCs w:val="24"/>
        </w:rPr>
        <w:t xml:space="preserve"> Mora would not have the opportunity to </w:t>
      </w:r>
      <w:r w:rsidR="00E619BD" w:rsidRPr="00EF782A">
        <w:rPr>
          <w:rFonts w:ascii="Times New Roman" w:hAnsi="Times New Roman" w:cs="Times New Roman"/>
          <w:sz w:val="24"/>
          <w:szCs w:val="24"/>
        </w:rPr>
        <w:t xml:space="preserve">present more arguments in his favor. </w:t>
      </w:r>
      <w:r w:rsidR="00666FB7" w:rsidRPr="00EF782A">
        <w:rPr>
          <w:rFonts w:ascii="Times New Roman" w:hAnsi="Times New Roman" w:cs="Times New Roman"/>
          <w:sz w:val="24"/>
          <w:szCs w:val="24"/>
        </w:rPr>
        <w:t>He was put to death w</w:t>
      </w:r>
      <w:r w:rsidR="00E619BD" w:rsidRPr="00EF782A">
        <w:rPr>
          <w:rFonts w:ascii="Times New Roman" w:hAnsi="Times New Roman" w:cs="Times New Roman"/>
          <w:sz w:val="24"/>
          <w:szCs w:val="24"/>
        </w:rPr>
        <w:t xml:space="preserve">hen Enrique took </w:t>
      </w:r>
      <w:r w:rsidR="00666FB7" w:rsidRPr="00EF782A">
        <w:rPr>
          <w:rFonts w:ascii="Times New Roman" w:hAnsi="Times New Roman" w:cs="Times New Roman"/>
          <w:sz w:val="24"/>
          <w:szCs w:val="24"/>
        </w:rPr>
        <w:t>full control of Toledo in December 1449.</w:t>
      </w:r>
      <w:r w:rsidR="00666FB7" w:rsidRPr="00EF782A">
        <w:rPr>
          <w:rStyle w:val="FootnoteReference"/>
          <w:rFonts w:ascii="Times New Roman" w:hAnsi="Times New Roman" w:cs="Times New Roman"/>
          <w:sz w:val="24"/>
          <w:szCs w:val="24"/>
        </w:rPr>
        <w:footnoteReference w:id="46"/>
      </w:r>
    </w:p>
    <w:p w14:paraId="17A2CC0B" w14:textId="77777777" w:rsidR="007F3C0F" w:rsidRPr="00EF782A" w:rsidRDefault="007246B3"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lastRenderedPageBreak/>
        <w:t>Other</w:t>
      </w:r>
      <w:r w:rsidR="007F3C0F" w:rsidRPr="00EF782A">
        <w:rPr>
          <w:rFonts w:ascii="Times New Roman" w:hAnsi="Times New Roman" w:cs="Times New Roman"/>
          <w:sz w:val="24"/>
          <w:szCs w:val="24"/>
        </w:rPr>
        <w:t>s did later take up the</w:t>
      </w:r>
      <w:r w:rsidRPr="00EF782A">
        <w:rPr>
          <w:rFonts w:ascii="Times New Roman" w:hAnsi="Times New Roman" w:cs="Times New Roman"/>
          <w:sz w:val="24"/>
          <w:szCs w:val="24"/>
        </w:rPr>
        <w:t xml:space="preserve"> defense of the </w:t>
      </w:r>
      <w:r w:rsidRPr="00EF782A">
        <w:rPr>
          <w:rFonts w:ascii="Times New Roman" w:hAnsi="Times New Roman" w:cs="Times New Roman"/>
          <w:i/>
          <w:sz w:val="24"/>
          <w:szCs w:val="24"/>
        </w:rPr>
        <w:t>Sentencia-Estatuto</w:t>
      </w:r>
      <w:r w:rsidR="007F3C0F" w:rsidRPr="00EF782A">
        <w:rPr>
          <w:rFonts w:ascii="Times New Roman" w:hAnsi="Times New Roman" w:cs="Times New Roman"/>
          <w:sz w:val="24"/>
          <w:szCs w:val="24"/>
        </w:rPr>
        <w:t xml:space="preserve">, such as Alonso de Espina’s 1469 </w:t>
      </w:r>
      <w:r w:rsidR="007F3C0F" w:rsidRPr="00EF782A">
        <w:rPr>
          <w:rFonts w:ascii="Times New Roman" w:hAnsi="Times New Roman" w:cs="Times New Roman"/>
          <w:i/>
          <w:sz w:val="24"/>
          <w:szCs w:val="24"/>
        </w:rPr>
        <w:t>Foralitium fidei</w:t>
      </w:r>
      <w:r w:rsidR="007F3C0F" w:rsidRPr="00EF782A">
        <w:rPr>
          <w:rFonts w:ascii="Times New Roman" w:hAnsi="Times New Roman" w:cs="Times New Roman"/>
          <w:sz w:val="24"/>
          <w:szCs w:val="24"/>
        </w:rPr>
        <w:t>.</w:t>
      </w:r>
      <w:r w:rsidR="007F3C0F" w:rsidRPr="00EF782A">
        <w:rPr>
          <w:rStyle w:val="FootnoteTextChar"/>
          <w:rFonts w:ascii="Times New Roman" w:hAnsi="Times New Roman" w:cs="Times New Roman"/>
          <w:sz w:val="24"/>
          <w:szCs w:val="24"/>
        </w:rPr>
        <w:t xml:space="preserve"> </w:t>
      </w:r>
      <w:r w:rsidR="007F3C0F" w:rsidRPr="00EF782A">
        <w:rPr>
          <w:rStyle w:val="FootnoteReference"/>
          <w:rFonts w:ascii="Times New Roman" w:hAnsi="Times New Roman" w:cs="Times New Roman"/>
          <w:sz w:val="24"/>
          <w:szCs w:val="24"/>
        </w:rPr>
        <w:footnoteReference w:id="47"/>
      </w:r>
      <w:r w:rsidR="007F3C0F" w:rsidRPr="00EF782A">
        <w:rPr>
          <w:rStyle w:val="FootnoteTextChar"/>
          <w:rFonts w:ascii="Times New Roman" w:hAnsi="Times New Roman" w:cs="Times New Roman"/>
          <w:sz w:val="24"/>
          <w:szCs w:val="24"/>
        </w:rPr>
        <w:t xml:space="preserve"> </w:t>
      </w:r>
      <w:r w:rsidR="007F3C0F" w:rsidRPr="00EF782A">
        <w:rPr>
          <w:rFonts w:ascii="Times New Roman" w:hAnsi="Times New Roman" w:cs="Times New Roman"/>
          <w:sz w:val="24"/>
          <w:szCs w:val="24"/>
        </w:rPr>
        <w:t xml:space="preserve">While the debates continued to be carried out on multiple fronts, a fundamental concern was the effectiveness of conversion. The </w:t>
      </w:r>
      <w:r w:rsidR="007F3C0F" w:rsidRPr="00EF782A">
        <w:rPr>
          <w:rFonts w:ascii="Times New Roman" w:hAnsi="Times New Roman" w:cs="Times New Roman"/>
          <w:i/>
          <w:sz w:val="24"/>
          <w:szCs w:val="24"/>
        </w:rPr>
        <w:t>Sentencia-Estatuto</w:t>
      </w:r>
      <w:r w:rsidR="007F3C0F" w:rsidRPr="00EF782A">
        <w:rPr>
          <w:rFonts w:ascii="Times New Roman" w:hAnsi="Times New Roman" w:cs="Times New Roman"/>
          <w:sz w:val="24"/>
          <w:szCs w:val="24"/>
        </w:rPr>
        <w:t xml:space="preserve"> enshrined the claim that conversion could no longer guarantee the transformation of one’s essence from Jew to Christian in law. In doing</w:t>
      </w:r>
      <w:r w:rsidR="000E47F8" w:rsidRPr="00EF782A">
        <w:rPr>
          <w:rFonts w:ascii="Times New Roman" w:hAnsi="Times New Roman" w:cs="Times New Roman"/>
          <w:sz w:val="24"/>
          <w:szCs w:val="24"/>
        </w:rPr>
        <w:t xml:space="preserve"> so</w:t>
      </w:r>
      <w:r w:rsidR="007F3C0F" w:rsidRPr="00EF782A">
        <w:rPr>
          <w:rFonts w:ascii="Times New Roman" w:hAnsi="Times New Roman" w:cs="Times New Roman"/>
          <w:sz w:val="24"/>
          <w:szCs w:val="24"/>
        </w:rPr>
        <w:t xml:space="preserve"> it extended the foundation of that essence beyond religion and into what would become race.</w:t>
      </w:r>
    </w:p>
    <w:p w14:paraId="5B7A76AB" w14:textId="77777777" w:rsidR="00F37B61" w:rsidRPr="00EF782A" w:rsidRDefault="007F3C0F"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 </w:t>
      </w:r>
      <w:r w:rsidR="00F37B61" w:rsidRPr="00EF782A">
        <w:rPr>
          <w:rFonts w:ascii="Times New Roman" w:hAnsi="Times New Roman" w:cs="Times New Roman"/>
          <w:sz w:val="24"/>
          <w:szCs w:val="24"/>
        </w:rPr>
        <w:t xml:space="preserve">The </w:t>
      </w:r>
      <w:r w:rsidR="00F37B61" w:rsidRPr="00EF782A">
        <w:rPr>
          <w:rFonts w:ascii="Times New Roman" w:hAnsi="Times New Roman" w:cs="Times New Roman"/>
          <w:i/>
          <w:sz w:val="24"/>
          <w:szCs w:val="24"/>
        </w:rPr>
        <w:t>Sentencia-Estatuto</w:t>
      </w:r>
      <w:r w:rsidR="00F37B61" w:rsidRPr="00EF782A">
        <w:rPr>
          <w:rFonts w:ascii="Times New Roman" w:hAnsi="Times New Roman" w:cs="Times New Roman"/>
          <w:sz w:val="24"/>
          <w:szCs w:val="24"/>
        </w:rPr>
        <w:t xml:space="preserve"> sought to radically reorganize social relation by changing the composition of those who held important public offices at a time when civic hierarchies were deeply enmeshed with religious identification. </w:t>
      </w:r>
      <w:r w:rsidR="00B43912" w:rsidRPr="00EF782A">
        <w:rPr>
          <w:rFonts w:ascii="Times New Roman" w:hAnsi="Times New Roman" w:cs="Times New Roman"/>
          <w:sz w:val="24"/>
          <w:szCs w:val="24"/>
        </w:rPr>
        <w:t>C</w:t>
      </w:r>
      <w:r w:rsidR="00F37B61" w:rsidRPr="00EF782A">
        <w:rPr>
          <w:rFonts w:ascii="Times New Roman" w:hAnsi="Times New Roman" w:cs="Times New Roman"/>
          <w:sz w:val="24"/>
          <w:szCs w:val="24"/>
        </w:rPr>
        <w:t>onversos had quickly risen to positions of authority in Castile following waves of mass conversions that began in 1391.</w:t>
      </w:r>
      <w:r w:rsidR="00F37B61" w:rsidRPr="00EF782A">
        <w:rPr>
          <w:rStyle w:val="FootnoteReference"/>
          <w:rFonts w:ascii="Times New Roman" w:hAnsi="Times New Roman" w:cs="Times New Roman"/>
          <w:sz w:val="24"/>
          <w:szCs w:val="24"/>
        </w:rPr>
        <w:footnoteReference w:id="48"/>
      </w:r>
      <w:r w:rsidR="00F37B61" w:rsidRPr="00EF782A">
        <w:rPr>
          <w:rFonts w:ascii="Times New Roman" w:hAnsi="Times New Roman" w:cs="Times New Roman"/>
          <w:sz w:val="24"/>
          <w:szCs w:val="24"/>
        </w:rPr>
        <w:t xml:space="preserve"> The possible reorganization of power that would be created from banning any convert of Jewish descent was apparent. The challenge posed to the religious episteme, as </w:t>
      </w:r>
      <w:r w:rsidR="00A16A44" w:rsidRPr="00EF782A">
        <w:rPr>
          <w:rFonts w:ascii="Times New Roman" w:hAnsi="Times New Roman" w:cs="Times New Roman"/>
          <w:sz w:val="24"/>
          <w:szCs w:val="24"/>
        </w:rPr>
        <w:t xml:space="preserve">recognized </w:t>
      </w:r>
      <w:r w:rsidR="00F37B61" w:rsidRPr="00EF782A">
        <w:rPr>
          <w:rFonts w:ascii="Times New Roman" w:hAnsi="Times New Roman" w:cs="Times New Roman"/>
          <w:sz w:val="24"/>
          <w:szCs w:val="24"/>
        </w:rPr>
        <w:t xml:space="preserve">by Nicholas V, was that it introduced a categorical exclusion to the possibility of salvation. Writing against the </w:t>
      </w:r>
      <w:r w:rsidR="00F37B61" w:rsidRPr="00EF782A">
        <w:rPr>
          <w:rFonts w:ascii="Times New Roman" w:hAnsi="Times New Roman" w:cs="Times New Roman"/>
          <w:i/>
          <w:sz w:val="24"/>
          <w:szCs w:val="24"/>
        </w:rPr>
        <w:t>Sentencia-Estatuto</w:t>
      </w:r>
      <w:r w:rsidR="00F37B61" w:rsidRPr="00EF782A">
        <w:rPr>
          <w:rFonts w:ascii="Times New Roman" w:hAnsi="Times New Roman" w:cs="Times New Roman"/>
          <w:sz w:val="24"/>
          <w:szCs w:val="24"/>
        </w:rPr>
        <w:t>, Alonso de Oropesa cautioned that the Christianizing mission itself could be called into question.</w:t>
      </w:r>
      <w:r w:rsidR="00F37B61" w:rsidRPr="00EF782A">
        <w:rPr>
          <w:rStyle w:val="FootnoteReference"/>
          <w:rFonts w:ascii="Times New Roman" w:hAnsi="Times New Roman" w:cs="Times New Roman"/>
          <w:sz w:val="24"/>
          <w:szCs w:val="24"/>
        </w:rPr>
        <w:footnoteReference w:id="49"/>
      </w:r>
      <w:r w:rsidR="00F37B61" w:rsidRPr="00EF782A">
        <w:rPr>
          <w:rFonts w:ascii="Times New Roman" w:hAnsi="Times New Roman" w:cs="Times New Roman"/>
          <w:sz w:val="24"/>
          <w:szCs w:val="24"/>
        </w:rPr>
        <w:t xml:space="preserve"> Through a close analysis of the literature produced in the debate around the </w:t>
      </w:r>
      <w:r w:rsidR="00F37B61" w:rsidRPr="00EF782A">
        <w:rPr>
          <w:rFonts w:ascii="Times New Roman" w:hAnsi="Times New Roman" w:cs="Times New Roman"/>
          <w:i/>
          <w:sz w:val="24"/>
          <w:szCs w:val="24"/>
        </w:rPr>
        <w:t>Sentencia-Estatuto</w:t>
      </w:r>
      <w:r w:rsidR="00F37B61" w:rsidRPr="00EF782A">
        <w:rPr>
          <w:rFonts w:ascii="Times New Roman" w:hAnsi="Times New Roman" w:cs="Times New Roman"/>
          <w:sz w:val="24"/>
          <w:szCs w:val="24"/>
        </w:rPr>
        <w:t>, Rosa Vidal Doval argues that even those in support of anti-converso statutes were not yet willing to claim that the essence of Jews was impervious to the effects of conversion and baptism. Rather, the effectiveness of conversion hinged on the sincerity of the converso individual. Thus, early anti-converso authors still held it to be possible in theory that a converso could be true to the Christian faith.</w:t>
      </w:r>
      <w:r w:rsidR="00F37B61" w:rsidRPr="00EF782A">
        <w:rPr>
          <w:rStyle w:val="FootnoteReference"/>
          <w:rFonts w:ascii="Times New Roman" w:hAnsi="Times New Roman" w:cs="Times New Roman"/>
          <w:sz w:val="24"/>
          <w:szCs w:val="24"/>
        </w:rPr>
        <w:footnoteReference w:id="50"/>
      </w:r>
      <w:r w:rsidR="00F37B61" w:rsidRPr="00EF782A">
        <w:rPr>
          <w:rFonts w:ascii="Times New Roman" w:hAnsi="Times New Roman" w:cs="Times New Roman"/>
          <w:sz w:val="24"/>
          <w:szCs w:val="24"/>
        </w:rPr>
        <w:t xml:space="preserve"> However, the </w:t>
      </w:r>
      <w:r w:rsidR="00F37B61" w:rsidRPr="00EF782A">
        <w:rPr>
          <w:rFonts w:ascii="Times New Roman" w:hAnsi="Times New Roman" w:cs="Times New Roman"/>
          <w:i/>
          <w:sz w:val="24"/>
          <w:szCs w:val="24"/>
        </w:rPr>
        <w:t>Sentencia-Estatuto</w:t>
      </w:r>
      <w:r w:rsidR="00F37B61" w:rsidRPr="00EF782A">
        <w:rPr>
          <w:rFonts w:ascii="Times New Roman" w:hAnsi="Times New Roman" w:cs="Times New Roman"/>
          <w:sz w:val="24"/>
          <w:szCs w:val="24"/>
        </w:rPr>
        <w:t xml:space="preserve"> structured social relations as if this were not a possibility. One did not have to be found to have erred in one’s </w:t>
      </w:r>
      <w:r w:rsidR="00F37B61" w:rsidRPr="00EF782A">
        <w:rPr>
          <w:rFonts w:ascii="Times New Roman" w:hAnsi="Times New Roman" w:cs="Times New Roman"/>
          <w:sz w:val="24"/>
          <w:szCs w:val="24"/>
        </w:rPr>
        <w:lastRenderedPageBreak/>
        <w:t>faith, simply having any Jewish ancestry would determine one’s suitability for public office. As blood purity laws overca</w:t>
      </w:r>
      <w:r w:rsidR="00A16A44" w:rsidRPr="00EF782A">
        <w:rPr>
          <w:rFonts w:ascii="Times New Roman" w:hAnsi="Times New Roman" w:cs="Times New Roman"/>
          <w:sz w:val="24"/>
          <w:szCs w:val="24"/>
        </w:rPr>
        <w:t>me their initial opposition by king and p</w:t>
      </w:r>
      <w:r w:rsidR="00F37B61" w:rsidRPr="00EF782A">
        <w:rPr>
          <w:rFonts w:ascii="Times New Roman" w:hAnsi="Times New Roman" w:cs="Times New Roman"/>
          <w:sz w:val="24"/>
          <w:szCs w:val="24"/>
        </w:rPr>
        <w:t xml:space="preserve">ope and began to proliferate across the Iberian Peninsula the space held open in theory for a faithful converso was soon filled with works describing the dangerous, unchanging nature of Jews. </w:t>
      </w:r>
    </w:p>
    <w:p w14:paraId="04277290" w14:textId="77777777" w:rsidR="00F37B61" w:rsidRPr="00EF782A" w:rsidRDefault="00F37B61"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This break with the religious episteme and social relations effected important temporal transformations. Vidal Doval highlights some of the temporal concerns central to the converso debate. Oropesa, writing against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emphasized that the concerns about particular conversos retaining Jewish beliefs should not lead to discrimination against them on a categorical basis. Drawing on Augustine he wrote that the task of the Church was to spread the faith as widely as possible and that there was no guarantee that non-believers would not continue to secretly live amongst them. Vidal Doval argues that for Oropesa, “[t]his impossibility of perfection within historical time meant that there should be no discrimination of Christians on account of their individual merits and virtues”.</w:t>
      </w:r>
      <w:r w:rsidRPr="00EF782A">
        <w:rPr>
          <w:rStyle w:val="FootnoteReference"/>
          <w:rFonts w:ascii="Times New Roman" w:hAnsi="Times New Roman" w:cs="Times New Roman"/>
          <w:sz w:val="24"/>
          <w:szCs w:val="24"/>
        </w:rPr>
        <w:footnoteReference w:id="51"/>
      </w:r>
      <w:r w:rsidRPr="00EF782A">
        <w:rPr>
          <w:rFonts w:ascii="Times New Roman" w:hAnsi="Times New Roman" w:cs="Times New Roman"/>
          <w:sz w:val="24"/>
          <w:szCs w:val="24"/>
        </w:rPr>
        <w:t xml:space="preserve"> She characterizes his approach as soteriological, “he describes his task in the </w:t>
      </w:r>
      <w:r w:rsidRPr="00EF782A">
        <w:rPr>
          <w:rFonts w:ascii="Times New Roman" w:hAnsi="Times New Roman" w:cs="Times New Roman"/>
          <w:i/>
          <w:sz w:val="24"/>
          <w:szCs w:val="24"/>
        </w:rPr>
        <w:t>Lumen</w:t>
      </w:r>
      <w:r w:rsidRPr="00EF782A">
        <w:rPr>
          <w:rFonts w:ascii="Times New Roman" w:hAnsi="Times New Roman" w:cs="Times New Roman"/>
          <w:sz w:val="24"/>
          <w:szCs w:val="24"/>
        </w:rPr>
        <w:t xml:space="preserve"> as a defense of the rights of Christ”.</w:t>
      </w:r>
      <w:r w:rsidRPr="00EF782A">
        <w:rPr>
          <w:rStyle w:val="FootnoteReference"/>
          <w:rFonts w:ascii="Times New Roman" w:hAnsi="Times New Roman" w:cs="Times New Roman"/>
          <w:sz w:val="24"/>
          <w:szCs w:val="24"/>
        </w:rPr>
        <w:footnoteReference w:id="52"/>
      </w:r>
      <w:r w:rsidRPr="00EF782A">
        <w:rPr>
          <w:rFonts w:ascii="Times New Roman" w:hAnsi="Times New Roman" w:cs="Times New Roman"/>
          <w:i/>
          <w:sz w:val="24"/>
          <w:szCs w:val="24"/>
        </w:rPr>
        <w:t xml:space="preserve"> </w:t>
      </w:r>
      <w:r w:rsidRPr="00EF782A">
        <w:rPr>
          <w:rFonts w:ascii="Times New Roman" w:hAnsi="Times New Roman" w:cs="Times New Roman"/>
          <w:sz w:val="24"/>
          <w:szCs w:val="24"/>
        </w:rPr>
        <w:t>Espina also drew to Augustine, but he significantly departed from Augustine’s own argument. “For Augustine, in historical time, and ‘till the final judgement, wheat and weeds grow together, often mistaken for the other.’ … By contrast, through his seeming conflation of historical and eschatological time, Espina suggested that the separation of wheat from weeds was both possible and desirable in contemporary society. The City of God had been realized in historical time and could, therefore, be realized again. If the final separation of the saved from the damned could not occur until the Last Judgement, nevertheless Espina held out the possibility of approaching perfection”.</w:t>
      </w:r>
      <w:r w:rsidRPr="00EF782A">
        <w:rPr>
          <w:rStyle w:val="FootnoteReference"/>
          <w:rFonts w:ascii="Times New Roman" w:hAnsi="Times New Roman" w:cs="Times New Roman"/>
          <w:sz w:val="24"/>
          <w:szCs w:val="24"/>
        </w:rPr>
        <w:footnoteReference w:id="53"/>
      </w:r>
      <w:r w:rsidRPr="00EF782A">
        <w:rPr>
          <w:rFonts w:ascii="Times New Roman" w:hAnsi="Times New Roman" w:cs="Times New Roman"/>
          <w:sz w:val="24"/>
          <w:szCs w:val="24"/>
        </w:rPr>
        <w:t xml:space="preserve"> The </w:t>
      </w:r>
      <w:r w:rsidRPr="00EF782A">
        <w:rPr>
          <w:rFonts w:ascii="Times New Roman" w:hAnsi="Times New Roman" w:cs="Times New Roman"/>
          <w:sz w:val="24"/>
          <w:szCs w:val="24"/>
        </w:rPr>
        <w:lastRenderedPageBreak/>
        <w:t xml:space="preserve">perfectibility of society was to be carried out through the zealous persecution of heretics, including conversos. Espina’s </w:t>
      </w:r>
      <w:r w:rsidRPr="00EF782A">
        <w:rPr>
          <w:rFonts w:ascii="Times New Roman" w:hAnsi="Times New Roman" w:cs="Times New Roman"/>
          <w:i/>
          <w:sz w:val="24"/>
          <w:szCs w:val="24"/>
        </w:rPr>
        <w:t>Fortalitium fidei</w:t>
      </w:r>
      <w:r w:rsidRPr="00EF782A">
        <w:rPr>
          <w:rFonts w:ascii="Times New Roman" w:hAnsi="Times New Roman" w:cs="Times New Roman"/>
          <w:sz w:val="24"/>
          <w:szCs w:val="24"/>
        </w:rPr>
        <w:t xml:space="preserve"> provided an important foundation for the establishment of the Spanish Inquisition.</w:t>
      </w:r>
    </w:p>
    <w:p w14:paraId="7862BC20" w14:textId="77777777" w:rsidR="00097E92" w:rsidRDefault="00097E92" w:rsidP="00EF782A">
      <w:pPr>
        <w:spacing w:after="0" w:line="480" w:lineRule="auto"/>
        <w:ind w:firstLine="720"/>
        <w:rPr>
          <w:rFonts w:ascii="Times New Roman" w:hAnsi="Times New Roman" w:cs="Times New Roman"/>
          <w:sz w:val="24"/>
          <w:szCs w:val="24"/>
        </w:rPr>
      </w:pPr>
    </w:p>
    <w:p w14:paraId="7ED81234" w14:textId="77777777" w:rsidR="00097E92" w:rsidRPr="00587750" w:rsidRDefault="00587750" w:rsidP="00097E92">
      <w:pPr>
        <w:spacing w:after="0" w:line="480" w:lineRule="auto"/>
        <w:rPr>
          <w:rFonts w:ascii="Times New Roman" w:hAnsi="Times New Roman" w:cs="Times New Roman"/>
          <w:b/>
          <w:sz w:val="24"/>
          <w:szCs w:val="24"/>
        </w:rPr>
      </w:pPr>
      <w:r>
        <w:rPr>
          <w:rFonts w:ascii="Times New Roman" w:hAnsi="Times New Roman" w:cs="Times New Roman"/>
          <w:b/>
          <w:sz w:val="24"/>
          <w:szCs w:val="24"/>
        </w:rPr>
        <w:t>The Temporality of Race</w:t>
      </w:r>
    </w:p>
    <w:p w14:paraId="423F5B63" w14:textId="77777777" w:rsidR="00F37B61" w:rsidRPr="00EF782A" w:rsidRDefault="00F37B61"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The </w:t>
      </w:r>
      <w:r w:rsidRPr="00EF782A">
        <w:rPr>
          <w:rFonts w:ascii="Times New Roman" w:hAnsi="Times New Roman" w:cs="Times New Roman"/>
          <w:i/>
          <w:sz w:val="24"/>
          <w:szCs w:val="24"/>
        </w:rPr>
        <w:t>Sentencia-Estatuto’s</w:t>
      </w:r>
      <w:r w:rsidRPr="00EF782A">
        <w:rPr>
          <w:rFonts w:ascii="Times New Roman" w:hAnsi="Times New Roman" w:cs="Times New Roman"/>
          <w:sz w:val="24"/>
          <w:szCs w:val="24"/>
        </w:rPr>
        <w:t xml:space="preserve"> actions and Espina’s justifications usurped the Divine prerogative of judgement by narrowing the gap between historical and eschatological time. This hubristic endeavor, decried by Oropesa, was to cast judgments that superseded the temporal limits of humanity. The time in which race operates is the time of God. This is why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could not be contained within the religious episteme. The prior laws regarding heresy that were mobilized to defend blood purity statutes, of which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was arguably the first, banned the children and grandchildren of heretics from joining the priesthood or holding ecclesiastic posts.</w:t>
      </w:r>
      <w:r w:rsidRPr="00EF782A">
        <w:rPr>
          <w:rStyle w:val="FootnoteReference"/>
          <w:rFonts w:ascii="Times New Roman" w:hAnsi="Times New Roman" w:cs="Times New Roman"/>
          <w:sz w:val="24"/>
          <w:szCs w:val="24"/>
        </w:rPr>
        <w:footnoteReference w:id="54"/>
      </w:r>
      <w:r w:rsidRPr="00EF782A">
        <w:rPr>
          <w:rFonts w:ascii="Times New Roman" w:hAnsi="Times New Roman" w:cs="Times New Roman"/>
          <w:sz w:val="24"/>
          <w:szCs w:val="24"/>
        </w:rPr>
        <w:t xml:space="preserve"> Banning the two subsequent generations was justified by the fear that they may have been influenced by the convicted heretic’s beliefs. These exclusions worked within human, historical time. They realize their limits at the ends of human life cycles. The </w:t>
      </w:r>
      <w:r w:rsidRPr="00EF782A">
        <w:rPr>
          <w:rFonts w:ascii="Times New Roman" w:hAnsi="Times New Roman" w:cs="Times New Roman"/>
          <w:i/>
          <w:sz w:val="24"/>
          <w:szCs w:val="24"/>
        </w:rPr>
        <w:t>Sentencia-Estatuto’s</w:t>
      </w:r>
      <w:r w:rsidRPr="00EF782A">
        <w:rPr>
          <w:rFonts w:ascii="Times New Roman" w:hAnsi="Times New Roman" w:cs="Times New Roman"/>
          <w:sz w:val="24"/>
          <w:szCs w:val="24"/>
        </w:rPr>
        <w:t xml:space="preserve"> disregard for the boundaries within which human life and action develops marks the first temporal element of race.</w:t>
      </w:r>
    </w:p>
    <w:p w14:paraId="13A1C09B" w14:textId="6EAB425B" w:rsidR="00F37B61" w:rsidRPr="00EF782A" w:rsidRDefault="00F37B61"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For the conversos the new racial temporality operated as a perpetual deferral of possibility. The horizon on which their full status as Christian subjects could be found was endlessly receding. The striving for perfection that Espina sought and the Divine prerogative to determine one’s essence that the </w:t>
      </w:r>
      <w:r w:rsidRPr="00EF782A">
        <w:rPr>
          <w:rFonts w:ascii="Times New Roman" w:hAnsi="Times New Roman" w:cs="Times New Roman"/>
          <w:i/>
          <w:sz w:val="24"/>
          <w:szCs w:val="24"/>
        </w:rPr>
        <w:t xml:space="preserve">Sentencia-Estatuto </w:t>
      </w:r>
      <w:r w:rsidRPr="00EF782A">
        <w:rPr>
          <w:rFonts w:ascii="Times New Roman" w:hAnsi="Times New Roman" w:cs="Times New Roman"/>
          <w:sz w:val="24"/>
          <w:szCs w:val="24"/>
        </w:rPr>
        <w:t xml:space="preserve">brought to hand was only to be wielded in the service of a pure Christian community. The surplus of judgement, taken from eschatological </w:t>
      </w:r>
      <w:r w:rsidRPr="00EF782A">
        <w:rPr>
          <w:rFonts w:ascii="Times New Roman" w:hAnsi="Times New Roman" w:cs="Times New Roman"/>
          <w:sz w:val="24"/>
          <w:szCs w:val="24"/>
        </w:rPr>
        <w:lastRenderedPageBreak/>
        <w:t xml:space="preserve">time, produced a deficit of proof that the conversos could never repay. Jewish descent marked them as unable to fully inhabit a Christian subject position, even after conversion. Maria Elena Martinez, in tracing the development of blood purity statutes from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throughout the Iberian Peninsula and later to the Spanish colonies in America, emphasizes the contingent nature of the </w:t>
      </w:r>
      <w:r w:rsidRPr="00EF782A">
        <w:rPr>
          <w:rFonts w:ascii="Times New Roman" w:hAnsi="Times New Roman" w:cs="Times New Roman"/>
          <w:i/>
          <w:sz w:val="24"/>
          <w:szCs w:val="24"/>
        </w:rPr>
        <w:t>probanzas de limpieza de sangre</w:t>
      </w:r>
      <w:r w:rsidRPr="00EF782A">
        <w:rPr>
          <w:rFonts w:ascii="Times New Roman" w:hAnsi="Times New Roman" w:cs="Times New Roman"/>
          <w:sz w:val="24"/>
          <w:szCs w:val="24"/>
        </w:rPr>
        <w:t xml:space="preserve">, writs of one’s Old Christian status. Though it became increasingly necessary during the sixteenth and seventeenth centuries to produce a </w:t>
      </w:r>
      <w:r w:rsidRPr="00EF782A">
        <w:rPr>
          <w:rFonts w:ascii="Times New Roman" w:hAnsi="Times New Roman" w:cs="Times New Roman"/>
          <w:i/>
          <w:sz w:val="24"/>
          <w:szCs w:val="24"/>
        </w:rPr>
        <w:t>probanza</w:t>
      </w:r>
      <w:r w:rsidRPr="00EF782A">
        <w:rPr>
          <w:rFonts w:ascii="Times New Roman" w:hAnsi="Times New Roman" w:cs="Times New Roman"/>
          <w:sz w:val="24"/>
          <w:szCs w:val="24"/>
        </w:rPr>
        <w:t xml:space="preserve"> in order to access all sorts of institutions and hold offices, the </w:t>
      </w:r>
      <w:r w:rsidRPr="00EF782A">
        <w:rPr>
          <w:rFonts w:ascii="Times New Roman" w:hAnsi="Times New Roman" w:cs="Times New Roman"/>
          <w:i/>
          <w:sz w:val="24"/>
          <w:szCs w:val="24"/>
        </w:rPr>
        <w:t>probanza</w:t>
      </w:r>
      <w:r w:rsidRPr="00EF782A">
        <w:rPr>
          <w:rFonts w:ascii="Times New Roman" w:hAnsi="Times New Roman" w:cs="Times New Roman"/>
          <w:sz w:val="24"/>
          <w:szCs w:val="24"/>
        </w:rPr>
        <w:t xml:space="preserve"> did not definitively settle the matter of one’s heritage. They operated on a more provisional basis and one would often have to go through the process multiple times throughout their life.</w:t>
      </w:r>
      <w:r w:rsidRPr="00EF782A">
        <w:rPr>
          <w:rStyle w:val="FootnoteReference"/>
          <w:rFonts w:ascii="Times New Roman" w:hAnsi="Times New Roman" w:cs="Times New Roman"/>
          <w:sz w:val="24"/>
          <w:szCs w:val="24"/>
        </w:rPr>
        <w:footnoteReference w:id="55"/>
      </w:r>
    </w:p>
    <w:p w14:paraId="3F66B368" w14:textId="77777777" w:rsidR="00F37B61" w:rsidRDefault="00F37B61" w:rsidP="00EF782A">
      <w:pPr>
        <w:spacing w:after="0" w:line="480" w:lineRule="auto"/>
        <w:ind w:firstLine="720"/>
        <w:rPr>
          <w:rFonts w:ascii="Times New Roman" w:hAnsi="Times New Roman" w:cs="Times New Roman"/>
          <w:sz w:val="24"/>
          <w:szCs w:val="24"/>
        </w:rPr>
      </w:pPr>
      <w:r w:rsidRPr="00EF782A">
        <w:rPr>
          <w:rFonts w:ascii="Times New Roman" w:hAnsi="Times New Roman" w:cs="Times New Roman"/>
          <w:sz w:val="24"/>
          <w:szCs w:val="24"/>
        </w:rPr>
        <w:t xml:space="preserve">By fixing the emergence of race in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two temporal elements are brought to the fore. First is the hubristic pretension to organize social relations in a manner only suitable for eschatological time. Second is that in doing so the promise of mutability, of crossing the threshold into the dominant subject position of Christian, that conversion offered became endlessly deferred. The distinction between prior anti-heretical laws placing a ban on two subsequent generations and the </w:t>
      </w:r>
      <w:r w:rsidRPr="00EF782A">
        <w:rPr>
          <w:rFonts w:ascii="Times New Roman" w:hAnsi="Times New Roman" w:cs="Times New Roman"/>
          <w:i/>
          <w:sz w:val="24"/>
          <w:szCs w:val="24"/>
        </w:rPr>
        <w:t>Sentencia-Estatuto’s</w:t>
      </w:r>
      <w:r w:rsidRPr="00EF782A">
        <w:rPr>
          <w:rFonts w:ascii="Times New Roman" w:hAnsi="Times New Roman" w:cs="Times New Roman"/>
          <w:sz w:val="24"/>
          <w:szCs w:val="24"/>
        </w:rPr>
        <w:t xml:space="preserve"> ban in perpetuity signifies the unmooring of the time in which human action takes place from the time in which human lives are contained. The </w:t>
      </w:r>
      <w:r w:rsidRPr="00EF782A">
        <w:rPr>
          <w:rFonts w:ascii="Times New Roman" w:hAnsi="Times New Roman" w:cs="Times New Roman"/>
          <w:i/>
          <w:sz w:val="24"/>
          <w:szCs w:val="24"/>
        </w:rPr>
        <w:t>Sentencia-Estatuto</w:t>
      </w:r>
      <w:r w:rsidRPr="00EF782A">
        <w:rPr>
          <w:rFonts w:ascii="Times New Roman" w:hAnsi="Times New Roman" w:cs="Times New Roman"/>
          <w:sz w:val="24"/>
          <w:szCs w:val="24"/>
        </w:rPr>
        <w:t xml:space="preserve"> pushes past the finitude that is fundamental to the human condition and unfurls a new temporal domain for human action. The temporal domain that it opens </w:t>
      </w:r>
      <w:r w:rsidR="001B1461" w:rsidRPr="00EF782A">
        <w:rPr>
          <w:rFonts w:ascii="Times New Roman" w:hAnsi="Times New Roman" w:cs="Times New Roman"/>
          <w:sz w:val="24"/>
          <w:szCs w:val="24"/>
        </w:rPr>
        <w:t>will be</w:t>
      </w:r>
      <w:r w:rsidRPr="00EF782A">
        <w:rPr>
          <w:rFonts w:ascii="Times New Roman" w:hAnsi="Times New Roman" w:cs="Times New Roman"/>
          <w:sz w:val="24"/>
          <w:szCs w:val="24"/>
        </w:rPr>
        <w:t xml:space="preserve"> crucial </w:t>
      </w:r>
      <w:r w:rsidR="001B1461" w:rsidRPr="00EF782A">
        <w:rPr>
          <w:rFonts w:ascii="Times New Roman" w:hAnsi="Times New Roman" w:cs="Times New Roman"/>
          <w:sz w:val="24"/>
          <w:szCs w:val="24"/>
        </w:rPr>
        <w:t>for</w:t>
      </w:r>
      <w:r w:rsidRPr="00EF782A">
        <w:rPr>
          <w:rFonts w:ascii="Times New Roman" w:hAnsi="Times New Roman" w:cs="Times New Roman"/>
          <w:sz w:val="24"/>
          <w:szCs w:val="24"/>
        </w:rPr>
        <w:t xml:space="preserve"> understanding the move of race into the Americas.</w:t>
      </w:r>
    </w:p>
    <w:p w14:paraId="61FD5FFD" w14:textId="77777777" w:rsidR="006E2B13" w:rsidRDefault="006E2B13" w:rsidP="006E2B13">
      <w:pPr>
        <w:spacing w:after="0" w:line="480" w:lineRule="auto"/>
        <w:rPr>
          <w:rFonts w:ascii="Times New Roman" w:hAnsi="Times New Roman" w:cs="Times New Roman"/>
          <w:sz w:val="24"/>
          <w:szCs w:val="24"/>
        </w:rPr>
      </w:pPr>
    </w:p>
    <w:p w14:paraId="50586A7D" w14:textId="77777777" w:rsidR="006E2B13" w:rsidRDefault="006E2B13" w:rsidP="006E2B13">
      <w:pPr>
        <w:spacing w:after="0" w:line="480" w:lineRule="auto"/>
        <w:rPr>
          <w:rFonts w:ascii="Times New Roman" w:hAnsi="Times New Roman" w:cs="Times New Roman"/>
          <w:sz w:val="24"/>
          <w:szCs w:val="24"/>
        </w:rPr>
      </w:pPr>
    </w:p>
    <w:p w14:paraId="6AFA27BB" w14:textId="77777777" w:rsidR="006E2B13" w:rsidRDefault="006E2B13" w:rsidP="006E2B13">
      <w:pPr>
        <w:spacing w:after="0" w:line="480" w:lineRule="auto"/>
        <w:rPr>
          <w:rFonts w:ascii="Times New Roman" w:hAnsi="Times New Roman" w:cs="Times New Roman"/>
          <w:sz w:val="24"/>
          <w:szCs w:val="24"/>
        </w:rPr>
      </w:pPr>
    </w:p>
    <w:p w14:paraId="19D32779" w14:textId="77777777" w:rsidR="006E2B13" w:rsidRDefault="006E2B13" w:rsidP="006E2B13">
      <w:pPr>
        <w:spacing w:after="0" w:line="480" w:lineRule="auto"/>
        <w:rPr>
          <w:rFonts w:ascii="Times New Roman" w:hAnsi="Times New Roman" w:cs="Times New Roman"/>
          <w:sz w:val="24"/>
          <w:szCs w:val="24"/>
        </w:rPr>
      </w:pPr>
    </w:p>
    <w:p w14:paraId="549E0E38" w14:textId="77777777" w:rsidR="006E2B13" w:rsidRDefault="006E2B13" w:rsidP="006E2B13">
      <w:pPr>
        <w:spacing w:after="0" w:line="480" w:lineRule="auto"/>
        <w:rPr>
          <w:rFonts w:ascii="Times New Roman" w:hAnsi="Times New Roman" w:cs="Times New Roman"/>
          <w:sz w:val="24"/>
          <w:szCs w:val="24"/>
        </w:rPr>
      </w:pPr>
    </w:p>
    <w:p w14:paraId="4E945C33" w14:textId="77777777" w:rsidR="006E2B13" w:rsidRDefault="006E2B13" w:rsidP="006E2B13">
      <w:pPr>
        <w:spacing w:after="0" w:line="480" w:lineRule="auto"/>
        <w:rPr>
          <w:rFonts w:ascii="Times New Roman" w:hAnsi="Times New Roman" w:cs="Times New Roman"/>
          <w:sz w:val="24"/>
          <w:szCs w:val="24"/>
        </w:rPr>
      </w:pPr>
    </w:p>
    <w:p w14:paraId="2CA1F2E9" w14:textId="77777777" w:rsidR="00827807" w:rsidRDefault="00827807" w:rsidP="006E2B13">
      <w:pPr>
        <w:spacing w:after="0" w:line="480" w:lineRule="auto"/>
        <w:rPr>
          <w:rFonts w:ascii="Times New Roman" w:hAnsi="Times New Roman" w:cs="Times New Roman"/>
          <w:sz w:val="24"/>
          <w:szCs w:val="24"/>
        </w:rPr>
      </w:pPr>
    </w:p>
    <w:p w14:paraId="5BF09B13" w14:textId="77777777" w:rsidR="006E2B13" w:rsidRPr="00BB0081" w:rsidRDefault="006E2B13" w:rsidP="006E2B13">
      <w:pPr>
        <w:spacing w:line="480" w:lineRule="auto"/>
        <w:jc w:val="center"/>
        <w:rPr>
          <w:rFonts w:ascii="Times New Roman" w:hAnsi="Times New Roman" w:cs="Times New Roman"/>
          <w:b/>
          <w:sz w:val="24"/>
          <w:szCs w:val="24"/>
        </w:rPr>
      </w:pPr>
      <w:r w:rsidRPr="00BB0081">
        <w:rPr>
          <w:rFonts w:ascii="Times New Roman" w:hAnsi="Times New Roman" w:cs="Times New Roman"/>
          <w:b/>
          <w:sz w:val="24"/>
          <w:szCs w:val="24"/>
        </w:rPr>
        <w:t>Works Cited</w:t>
      </w:r>
    </w:p>
    <w:p w14:paraId="387A1E37" w14:textId="77777777" w:rsidR="006E2B13" w:rsidRPr="00E35FB4" w:rsidRDefault="006E2B13" w:rsidP="006E2B13">
      <w:pPr>
        <w:spacing w:line="240" w:lineRule="auto"/>
        <w:rPr>
          <w:rFonts w:ascii="Times New Roman" w:hAnsi="Times New Roman" w:cs="Times New Roman"/>
          <w:sz w:val="24"/>
          <w:szCs w:val="24"/>
        </w:rPr>
      </w:pPr>
    </w:p>
    <w:p w14:paraId="3FE5F68D" w14:textId="77777777" w:rsidR="006E2B13"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rPr>
      </w:pPr>
      <w:r w:rsidRPr="00E35FB4">
        <w:rPr>
          <w:rFonts w:ascii="Times New Roman" w:eastAsiaTheme="minorEastAsia" w:hAnsi="Times New Roman" w:cs="Times New Roman"/>
          <w:sz w:val="24"/>
          <w:szCs w:val="24"/>
        </w:rPr>
        <w:t xml:space="preserve">Anidjar, Gil. "The History of Race, the Race of History." </w:t>
      </w:r>
      <w:r w:rsidRPr="00E35FB4">
        <w:rPr>
          <w:rFonts w:ascii="Times New Roman" w:eastAsiaTheme="minorEastAsia" w:hAnsi="Times New Roman" w:cs="Times New Roman"/>
          <w:i/>
          <w:iCs/>
          <w:sz w:val="24"/>
          <w:szCs w:val="24"/>
        </w:rPr>
        <w:t xml:space="preserve">The Jewish Quarterly Review </w:t>
      </w:r>
      <w:r w:rsidRPr="00E35FB4">
        <w:rPr>
          <w:rFonts w:ascii="Times New Roman" w:eastAsiaTheme="minorEastAsia" w:hAnsi="Times New Roman" w:cs="Times New Roman"/>
          <w:sz w:val="24"/>
          <w:szCs w:val="24"/>
        </w:rPr>
        <w:t>105, no. 4 (Fall 2015): 515-21.</w:t>
      </w:r>
    </w:p>
    <w:p w14:paraId="74305F81" w14:textId="77777777" w:rsidR="0011483E" w:rsidRPr="0011483E" w:rsidRDefault="0011483E"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lang w:val="es-MX"/>
        </w:rPr>
      </w:pPr>
      <w:r w:rsidRPr="0011483E">
        <w:rPr>
          <w:rFonts w:ascii="Times New Roman" w:eastAsiaTheme="minorEastAsia" w:hAnsi="Times New Roman" w:cs="Times New Roman"/>
          <w:sz w:val="24"/>
          <w:szCs w:val="24"/>
          <w:lang w:val="es-MX"/>
        </w:rPr>
        <w:t>Benito Ruano, Eloy. </w:t>
      </w:r>
      <w:r w:rsidRPr="0011483E">
        <w:rPr>
          <w:rFonts w:ascii="Times New Roman" w:eastAsiaTheme="minorEastAsia" w:hAnsi="Times New Roman" w:cs="Times New Roman"/>
          <w:i/>
          <w:iCs/>
          <w:sz w:val="24"/>
          <w:szCs w:val="24"/>
          <w:lang w:val="es-MX"/>
        </w:rPr>
        <w:t>Los origenes del problema converso</w:t>
      </w:r>
      <w:r w:rsidRPr="0011483E">
        <w:rPr>
          <w:rFonts w:ascii="Times New Roman" w:eastAsiaTheme="minorEastAsia" w:hAnsi="Times New Roman" w:cs="Times New Roman"/>
          <w:sz w:val="24"/>
          <w:szCs w:val="24"/>
          <w:lang w:val="es-MX"/>
        </w:rPr>
        <w:t>. Real Academia de la Historia, 2001. http://www.cervantesvirtual.com/obra-visor/los-origenes-del-problema-converso--0/html/ffe964ce-82b1-11df-acc7-002185ce6064_29.html#I_1_.</w:t>
      </w:r>
    </w:p>
    <w:p w14:paraId="7ECCC15C" w14:textId="77777777" w:rsidR="006E2B13"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lang w:val="es-MX"/>
        </w:rPr>
      </w:pPr>
      <w:r w:rsidRPr="006E2B13">
        <w:rPr>
          <w:rFonts w:ascii="Times New Roman" w:eastAsiaTheme="minorEastAsia" w:hAnsi="Times New Roman" w:cs="Times New Roman"/>
          <w:sz w:val="24"/>
          <w:szCs w:val="24"/>
          <w:lang w:val="es-MX"/>
        </w:rPr>
        <w:t>González Rolán, Tomás, and Saquero Suárez-Somonte</w:t>
      </w:r>
      <w:r>
        <w:rPr>
          <w:rFonts w:ascii="Times New Roman" w:eastAsiaTheme="minorEastAsia" w:hAnsi="Times New Roman" w:cs="Times New Roman"/>
          <w:sz w:val="24"/>
          <w:szCs w:val="24"/>
          <w:lang w:val="es-MX"/>
        </w:rPr>
        <w:t xml:space="preserve">, </w:t>
      </w:r>
      <w:r w:rsidRPr="006E2B13">
        <w:rPr>
          <w:rFonts w:ascii="Times New Roman" w:eastAsiaTheme="minorEastAsia" w:hAnsi="Times New Roman" w:cs="Times New Roman"/>
          <w:sz w:val="24"/>
          <w:szCs w:val="24"/>
          <w:lang w:val="es-MX"/>
        </w:rPr>
        <w:t>Pilar.</w:t>
      </w:r>
      <w:r>
        <w:rPr>
          <w:rFonts w:ascii="Times New Roman" w:eastAsiaTheme="minorEastAsia" w:hAnsi="Times New Roman" w:cs="Times New Roman"/>
          <w:sz w:val="24"/>
          <w:szCs w:val="24"/>
          <w:lang w:val="es-MX"/>
        </w:rPr>
        <w:t xml:space="preserve"> </w:t>
      </w:r>
      <w:r w:rsidR="0011483E">
        <w:rPr>
          <w:rFonts w:ascii="Times New Roman" w:eastAsiaTheme="minorEastAsia" w:hAnsi="Times New Roman" w:cs="Times New Roman"/>
          <w:sz w:val="24"/>
          <w:szCs w:val="24"/>
          <w:lang w:val="es-MX"/>
        </w:rPr>
        <w:t xml:space="preserve">Ed. </w:t>
      </w:r>
      <w:r w:rsidR="0011483E" w:rsidRPr="00E12B1B">
        <w:rPr>
          <w:rFonts w:ascii="Times New Roman" w:eastAsiaTheme="minorEastAsia" w:hAnsi="Times New Roman" w:cs="Times New Roman"/>
          <w:sz w:val="24"/>
          <w:szCs w:val="24"/>
          <w:lang w:val="es-MX"/>
        </w:rPr>
        <w:t xml:space="preserve">&amp; </w:t>
      </w:r>
      <w:r>
        <w:rPr>
          <w:rFonts w:ascii="Times New Roman" w:eastAsiaTheme="minorEastAsia" w:hAnsi="Times New Roman" w:cs="Times New Roman"/>
          <w:sz w:val="24"/>
          <w:szCs w:val="24"/>
          <w:lang w:val="es-MX"/>
        </w:rPr>
        <w:t>Trans.</w:t>
      </w:r>
      <w:r w:rsidRPr="006E2B13">
        <w:rPr>
          <w:rFonts w:ascii="Times New Roman" w:eastAsiaTheme="minorEastAsia" w:hAnsi="Times New Roman" w:cs="Times New Roman"/>
          <w:sz w:val="24"/>
          <w:szCs w:val="24"/>
          <w:lang w:val="es-MX"/>
        </w:rPr>
        <w:t> </w:t>
      </w:r>
      <w:r w:rsidRPr="006E2B13">
        <w:rPr>
          <w:rFonts w:ascii="Times New Roman" w:eastAsiaTheme="minorEastAsia" w:hAnsi="Times New Roman" w:cs="Times New Roman"/>
          <w:i/>
          <w:iCs/>
          <w:sz w:val="24"/>
          <w:szCs w:val="24"/>
          <w:lang w:val="es-MX"/>
        </w:rPr>
        <w:t>De la "sentencia-estatuto" de Pero Sarmiento a la "instrucción" del relator: estudio introductorio, edición crítica y notas de los textos contrarios y favorables a los judeoconversos a raíz de la rebelión de Toledo de 1449</w:t>
      </w:r>
      <w:r w:rsidRPr="006E2B13">
        <w:rPr>
          <w:rFonts w:ascii="Times New Roman" w:eastAsiaTheme="minorEastAsia" w:hAnsi="Times New Roman" w:cs="Times New Roman"/>
          <w:sz w:val="24"/>
          <w:szCs w:val="24"/>
          <w:lang w:val="es-MX"/>
        </w:rPr>
        <w:t>. Alcobendas, Madrid: Aben Ezra, 2012.</w:t>
      </w:r>
    </w:p>
    <w:p w14:paraId="1022DD09" w14:textId="77777777" w:rsidR="004E3BA2" w:rsidRPr="004E3BA2" w:rsidRDefault="004E3BA2"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lang w:val="es-MX"/>
        </w:rPr>
      </w:pPr>
      <w:r w:rsidRPr="004E3BA2">
        <w:rPr>
          <w:rFonts w:ascii="Times New Roman" w:eastAsiaTheme="minorEastAsia" w:hAnsi="Times New Roman" w:cs="Times New Roman"/>
          <w:sz w:val="24"/>
          <w:szCs w:val="24"/>
          <w:lang w:val="es-MX"/>
        </w:rPr>
        <w:t>León Tello, Pilar. </w:t>
      </w:r>
      <w:r w:rsidRPr="004E3BA2">
        <w:rPr>
          <w:rFonts w:ascii="Times New Roman" w:eastAsiaTheme="minorEastAsia" w:hAnsi="Times New Roman" w:cs="Times New Roman"/>
          <w:i/>
          <w:iCs/>
          <w:sz w:val="24"/>
          <w:szCs w:val="24"/>
          <w:lang w:val="es-MX"/>
        </w:rPr>
        <w:t>Judíos de Toledo</w:t>
      </w:r>
      <w:r w:rsidRPr="004E3BA2">
        <w:rPr>
          <w:rFonts w:ascii="Times New Roman" w:eastAsiaTheme="minorEastAsia" w:hAnsi="Times New Roman" w:cs="Times New Roman"/>
          <w:sz w:val="24"/>
          <w:szCs w:val="24"/>
          <w:lang w:val="es-MX"/>
        </w:rPr>
        <w:t>. Madrid: Instituto "B. Arias Montano", 1980.</w:t>
      </w:r>
    </w:p>
    <w:p w14:paraId="24866A6D" w14:textId="77777777" w:rsidR="006E2B13" w:rsidRPr="00E35FB4"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rPr>
      </w:pPr>
      <w:r w:rsidRPr="006E2B13">
        <w:rPr>
          <w:rFonts w:ascii="Times New Roman" w:eastAsiaTheme="minorEastAsia" w:hAnsi="Times New Roman" w:cs="Times New Roman"/>
          <w:sz w:val="24"/>
          <w:szCs w:val="24"/>
          <w:lang w:val="es-MX"/>
        </w:rPr>
        <w:t xml:space="preserve">Martínez, María Elena, </w:t>
      </w:r>
      <w:r w:rsidRPr="006E2B13">
        <w:rPr>
          <w:rFonts w:ascii="Times New Roman" w:eastAsiaTheme="minorEastAsia" w:hAnsi="Times New Roman" w:cs="Times New Roman"/>
          <w:i/>
          <w:iCs/>
          <w:sz w:val="24"/>
          <w:szCs w:val="24"/>
          <w:lang w:val="es-MX"/>
        </w:rPr>
        <w:t>Genealogical Fictions : Limpieza De Sangre, Religion, and Gender in Colonial Mexico</w:t>
      </w:r>
      <w:r w:rsidRPr="006E2B13">
        <w:rPr>
          <w:rFonts w:ascii="Times New Roman" w:eastAsiaTheme="minorEastAsia" w:hAnsi="Times New Roman" w:cs="Times New Roman"/>
          <w:sz w:val="24"/>
          <w:szCs w:val="24"/>
          <w:lang w:val="es-MX"/>
        </w:rPr>
        <w:t xml:space="preserve">.  </w:t>
      </w:r>
      <w:r w:rsidRPr="00E35FB4">
        <w:rPr>
          <w:rFonts w:ascii="Times New Roman" w:eastAsiaTheme="minorEastAsia" w:hAnsi="Times New Roman" w:cs="Times New Roman"/>
          <w:sz w:val="24"/>
          <w:szCs w:val="24"/>
        </w:rPr>
        <w:t>Stanford, Calif.: Stanford University Press, 2008.</w:t>
      </w:r>
    </w:p>
    <w:p w14:paraId="53ADAE5D" w14:textId="77777777" w:rsidR="006E2B13" w:rsidRPr="00E12B1B"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lang w:val="es-MX"/>
        </w:rPr>
      </w:pPr>
      <w:r w:rsidRPr="00E35FB4">
        <w:rPr>
          <w:rFonts w:ascii="Times New Roman" w:eastAsiaTheme="minorEastAsia" w:hAnsi="Times New Roman" w:cs="Times New Roman"/>
          <w:sz w:val="24"/>
          <w:szCs w:val="24"/>
        </w:rPr>
        <w:t xml:space="preserve">Netanyahu, B. </w:t>
      </w:r>
      <w:r w:rsidRPr="00E35FB4">
        <w:rPr>
          <w:rFonts w:ascii="Times New Roman" w:eastAsiaTheme="minorEastAsia" w:hAnsi="Times New Roman" w:cs="Times New Roman"/>
          <w:i/>
          <w:iCs/>
          <w:sz w:val="24"/>
          <w:szCs w:val="24"/>
        </w:rPr>
        <w:t>The Origins of the Inquisition in Fifteenth Century Spain</w:t>
      </w:r>
      <w:r w:rsidRPr="00E35FB4">
        <w:rPr>
          <w:rFonts w:ascii="Times New Roman" w:eastAsiaTheme="minorEastAsia" w:hAnsi="Times New Roman" w:cs="Times New Roman"/>
          <w:sz w:val="24"/>
          <w:szCs w:val="24"/>
        </w:rPr>
        <w:t xml:space="preserve">. </w:t>
      </w:r>
      <w:r w:rsidRPr="00E12B1B">
        <w:rPr>
          <w:rFonts w:ascii="Times New Roman" w:eastAsiaTheme="minorEastAsia" w:hAnsi="Times New Roman" w:cs="Times New Roman"/>
          <w:sz w:val="24"/>
          <w:szCs w:val="24"/>
          <w:lang w:val="es-MX"/>
        </w:rPr>
        <w:t>2nd ed.  New York: New York Review Books, 2001.</w:t>
      </w:r>
    </w:p>
    <w:p w14:paraId="49070CA9" w14:textId="77777777" w:rsidR="006E2B13" w:rsidRPr="00E35FB4"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rPr>
      </w:pPr>
      <w:r w:rsidRPr="00E35FB4">
        <w:rPr>
          <w:rFonts w:ascii="Times New Roman" w:eastAsiaTheme="minorEastAsia" w:hAnsi="Times New Roman" w:cs="Times New Roman"/>
          <w:sz w:val="24"/>
          <w:szCs w:val="24"/>
          <w:lang w:val="es-MX"/>
        </w:rPr>
        <w:t xml:space="preserve">Sicroff, Albert A. </w:t>
      </w:r>
      <w:r w:rsidRPr="00E35FB4">
        <w:rPr>
          <w:rFonts w:ascii="Times New Roman" w:eastAsiaTheme="minorEastAsia" w:hAnsi="Times New Roman" w:cs="Times New Roman"/>
          <w:i/>
          <w:iCs/>
          <w:sz w:val="24"/>
          <w:szCs w:val="24"/>
          <w:lang w:val="es-MX"/>
        </w:rPr>
        <w:t>Los Estatutos De Limpieza De Sangre : Controversias Entre Los Siglos Xv Y Xvii</w:t>
      </w:r>
      <w:r w:rsidRPr="00E35FB4">
        <w:rPr>
          <w:rFonts w:ascii="Times New Roman" w:eastAsiaTheme="minorEastAsia" w:hAnsi="Times New Roman" w:cs="Times New Roman"/>
          <w:sz w:val="24"/>
          <w:szCs w:val="24"/>
          <w:lang w:val="es-MX"/>
        </w:rPr>
        <w:t xml:space="preserve">. Juan De La Cuesta Hispanic Monographs: Estudios Judeo-Españoles "Samuel Armistead Y Joseph Silverman".  </w:t>
      </w:r>
      <w:r w:rsidRPr="00E35FB4">
        <w:rPr>
          <w:rFonts w:ascii="Times New Roman" w:eastAsiaTheme="minorEastAsia" w:hAnsi="Times New Roman" w:cs="Times New Roman"/>
          <w:sz w:val="24"/>
          <w:szCs w:val="24"/>
        </w:rPr>
        <w:t>Newark, Del.: Juan de la Cuesta, 2010.</w:t>
      </w:r>
    </w:p>
    <w:p w14:paraId="2E7D984C" w14:textId="77777777" w:rsidR="006E2B13" w:rsidRPr="006E2B13"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i/>
          <w:iCs/>
          <w:sz w:val="24"/>
          <w:szCs w:val="24"/>
        </w:rPr>
      </w:pPr>
      <w:r w:rsidRPr="00E35FB4">
        <w:rPr>
          <w:rFonts w:ascii="Times New Roman" w:eastAsiaTheme="minorEastAsia" w:hAnsi="Times New Roman" w:cs="Times New Roman"/>
          <w:sz w:val="24"/>
          <w:szCs w:val="24"/>
        </w:rPr>
        <w:t xml:space="preserve">Trouillot, Michel-Rolph, and American Council of Learned Societies. </w:t>
      </w:r>
      <w:r w:rsidRPr="00E35FB4">
        <w:rPr>
          <w:rFonts w:ascii="Times New Roman" w:eastAsiaTheme="minorEastAsia" w:hAnsi="Times New Roman" w:cs="Times New Roman"/>
          <w:i/>
          <w:iCs/>
          <w:sz w:val="24"/>
          <w:szCs w:val="24"/>
        </w:rPr>
        <w:t>Silencing the Past</w:t>
      </w:r>
      <w:r>
        <w:rPr>
          <w:rFonts w:ascii="Times New Roman" w:eastAsiaTheme="minorEastAsia" w:hAnsi="Times New Roman" w:cs="Times New Roman"/>
          <w:i/>
          <w:iCs/>
          <w:sz w:val="24"/>
          <w:szCs w:val="24"/>
        </w:rPr>
        <w:t xml:space="preserve">: </w:t>
      </w:r>
      <w:r w:rsidRPr="00E35FB4">
        <w:rPr>
          <w:rFonts w:ascii="Times New Roman" w:eastAsiaTheme="minorEastAsia" w:hAnsi="Times New Roman" w:cs="Times New Roman"/>
          <w:i/>
          <w:iCs/>
          <w:sz w:val="24"/>
          <w:szCs w:val="24"/>
        </w:rPr>
        <w:t>Power and the Production of History</w:t>
      </w:r>
      <w:r w:rsidRPr="00E35FB4">
        <w:rPr>
          <w:rFonts w:ascii="Times New Roman" w:eastAsiaTheme="minorEastAsia" w:hAnsi="Times New Roman" w:cs="Times New Roman"/>
          <w:sz w:val="24"/>
          <w:szCs w:val="24"/>
        </w:rPr>
        <w:t>.  Boston: Beacon Press,, 2015. http://hdl.library.upenn.edu/1017.12/1553926 Connect to full text.</w:t>
      </w:r>
    </w:p>
    <w:p w14:paraId="23485A7A" w14:textId="77777777" w:rsidR="006E2B13" w:rsidRPr="00E35FB4"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rPr>
      </w:pPr>
      <w:r w:rsidRPr="00E35FB4">
        <w:rPr>
          <w:rFonts w:ascii="Times New Roman" w:eastAsiaTheme="minorEastAsia" w:hAnsi="Times New Roman" w:cs="Times New Roman"/>
          <w:sz w:val="24"/>
          <w:szCs w:val="24"/>
        </w:rPr>
        <w:t xml:space="preserve">Vidal Doval, Rosa. </w:t>
      </w:r>
      <w:r w:rsidRPr="00E35FB4">
        <w:rPr>
          <w:rFonts w:ascii="Times New Roman" w:eastAsiaTheme="minorEastAsia" w:hAnsi="Times New Roman" w:cs="Times New Roman"/>
          <w:i/>
          <w:iCs/>
          <w:sz w:val="24"/>
          <w:szCs w:val="24"/>
        </w:rPr>
        <w:t>Misera Hispania : Jews and Conversos in Alonso De Espina's Fortalitium Fidei</w:t>
      </w:r>
      <w:r w:rsidRPr="00E35FB4">
        <w:rPr>
          <w:rFonts w:ascii="Times New Roman" w:eastAsiaTheme="minorEastAsia" w:hAnsi="Times New Roman" w:cs="Times New Roman"/>
          <w:sz w:val="24"/>
          <w:szCs w:val="24"/>
        </w:rPr>
        <w:t>. Medium Ævum Monographs.  Oxford: The Society for the Study of Medieval Languages and Literature, 2013.</w:t>
      </w:r>
    </w:p>
    <w:p w14:paraId="29C3BD02" w14:textId="77777777" w:rsidR="006E2B13" w:rsidRPr="00BF60EF" w:rsidRDefault="006E2B13" w:rsidP="006E2B13">
      <w:pPr>
        <w:widowControl w:val="0"/>
        <w:autoSpaceDE w:val="0"/>
        <w:autoSpaceDN w:val="0"/>
        <w:adjustRightInd w:val="0"/>
        <w:spacing w:line="240" w:lineRule="auto"/>
        <w:ind w:left="720" w:hanging="720"/>
        <w:rPr>
          <w:rFonts w:ascii="Times New Roman" w:eastAsiaTheme="minorEastAsia" w:hAnsi="Times New Roman" w:cs="Times New Roman"/>
          <w:sz w:val="24"/>
          <w:szCs w:val="24"/>
        </w:rPr>
      </w:pPr>
      <w:r w:rsidRPr="00E35FB4">
        <w:rPr>
          <w:rFonts w:ascii="Times New Roman" w:eastAsiaTheme="minorEastAsia" w:hAnsi="Times New Roman" w:cs="Times New Roman"/>
          <w:sz w:val="24"/>
          <w:szCs w:val="24"/>
        </w:rPr>
        <w:t xml:space="preserve">Wynter, Sylvia. "1492: A New World View." In </w:t>
      </w:r>
      <w:r w:rsidRPr="00E35FB4">
        <w:rPr>
          <w:rFonts w:ascii="Times New Roman" w:eastAsiaTheme="minorEastAsia" w:hAnsi="Times New Roman" w:cs="Times New Roman"/>
          <w:i/>
          <w:iCs/>
          <w:sz w:val="24"/>
          <w:szCs w:val="24"/>
        </w:rPr>
        <w:t>Race, Discourse, and the Origin of the Americas: A New World View</w:t>
      </w:r>
      <w:r w:rsidRPr="00E35FB4">
        <w:rPr>
          <w:rFonts w:ascii="Times New Roman" w:eastAsiaTheme="minorEastAsia" w:hAnsi="Times New Roman" w:cs="Times New Roman"/>
          <w:sz w:val="24"/>
          <w:szCs w:val="24"/>
        </w:rPr>
        <w:t>, edited by Vera Lawrence Hyatt and REx Nettleford, 5-57. Washington D.C.: Smithsonian, 1995.</w:t>
      </w:r>
    </w:p>
    <w:p w14:paraId="5536C287" w14:textId="77777777" w:rsidR="006E2B13" w:rsidRPr="006E2B13" w:rsidRDefault="006E2B13" w:rsidP="006E2B13">
      <w:pPr>
        <w:spacing w:after="0" w:line="480" w:lineRule="auto"/>
        <w:rPr>
          <w:rFonts w:ascii="Times New Roman" w:hAnsi="Times New Roman" w:cs="Times New Roman"/>
          <w:sz w:val="24"/>
          <w:szCs w:val="24"/>
          <w:lang w:val="es-MX"/>
        </w:rPr>
      </w:pPr>
      <w:bookmarkStart w:id="0" w:name="_GoBack"/>
      <w:bookmarkEnd w:id="0"/>
    </w:p>
    <w:sectPr w:rsidR="006E2B13" w:rsidRPr="006E2B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2DA9" w14:textId="77777777" w:rsidR="00491EEF" w:rsidRDefault="00491EEF" w:rsidP="00A850A7">
      <w:pPr>
        <w:spacing w:after="0" w:line="240" w:lineRule="auto"/>
      </w:pPr>
      <w:r>
        <w:separator/>
      </w:r>
    </w:p>
  </w:endnote>
  <w:endnote w:type="continuationSeparator" w:id="0">
    <w:p w14:paraId="5C06760E" w14:textId="77777777" w:rsidR="00491EEF" w:rsidRDefault="00491EEF" w:rsidP="00A8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1317" w14:textId="77777777" w:rsidR="00491EEF" w:rsidRDefault="00491EEF" w:rsidP="00A850A7">
      <w:pPr>
        <w:spacing w:after="0" w:line="240" w:lineRule="auto"/>
      </w:pPr>
      <w:r>
        <w:separator/>
      </w:r>
    </w:p>
  </w:footnote>
  <w:footnote w:type="continuationSeparator" w:id="0">
    <w:p w14:paraId="6E3C8A59" w14:textId="77777777" w:rsidR="00491EEF" w:rsidRDefault="00491EEF" w:rsidP="00A850A7">
      <w:pPr>
        <w:spacing w:after="0" w:line="240" w:lineRule="auto"/>
      </w:pPr>
      <w:r>
        <w:continuationSeparator/>
      </w:r>
    </w:p>
  </w:footnote>
  <w:footnote w:id="1">
    <w:p w14:paraId="55E65488"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The exact date of the outbreak of the rebellion is contested, though the events themselves are not. Benito Ruano holds that the looting and burning of Alonso Cota’s house occurred on Sunday, January 26</w:t>
      </w:r>
      <w:r w:rsidRPr="00105DE8">
        <w:rPr>
          <w:rFonts w:cstheme="minorHAnsi"/>
          <w:vertAlign w:val="superscript"/>
        </w:rPr>
        <w:t xml:space="preserve">th </w:t>
      </w:r>
      <w:r w:rsidRPr="00105DE8">
        <w:rPr>
          <w:rFonts w:cstheme="minorHAnsi"/>
        </w:rPr>
        <w:t>(ch. 2.1) while Netanyahu maintains that this occurred on Monday, January 27</w:t>
      </w:r>
      <w:r w:rsidRPr="00105DE8">
        <w:rPr>
          <w:rFonts w:cstheme="minorHAnsi"/>
          <w:vertAlign w:val="superscript"/>
        </w:rPr>
        <w:t>th</w:t>
      </w:r>
      <w:r w:rsidRPr="00105DE8">
        <w:rPr>
          <w:rFonts w:cstheme="minorHAnsi"/>
        </w:rPr>
        <w:t xml:space="preserve"> (p. 310). For more on this debate see Netanyahu’s note 64 on page 1225.</w:t>
      </w:r>
    </w:p>
  </w:footnote>
  <w:footnote w:id="2">
    <w:p w14:paraId="0045BB0E"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00781533">
        <w:rPr>
          <w:rFonts w:cstheme="minorHAnsi"/>
          <w:i/>
          <w:lang w:val="es-MX"/>
        </w:rPr>
        <w:t>Judíos de Toledo</w:t>
      </w:r>
      <w:r w:rsidRPr="00105DE8">
        <w:rPr>
          <w:rFonts w:cstheme="minorHAnsi"/>
          <w:lang w:val="es-MX"/>
        </w:rPr>
        <w:t>, p. 208</w:t>
      </w:r>
    </w:p>
  </w:footnote>
  <w:footnote w:id="3">
    <w:p w14:paraId="0E25ACCE"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De la Sentencia-Estatuto</w:t>
      </w:r>
      <w:r w:rsidRPr="00105DE8">
        <w:rPr>
          <w:rFonts w:cstheme="minorHAnsi"/>
          <w:lang w:val="es-MX"/>
        </w:rPr>
        <w:t>, p. XVIII</w:t>
      </w:r>
    </w:p>
  </w:footnote>
  <w:footnote w:id="4">
    <w:p w14:paraId="56630E76"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Sentencia-Estatuto</w:t>
      </w:r>
      <w:r w:rsidR="00645124">
        <w:rPr>
          <w:rFonts w:cstheme="minorHAnsi"/>
          <w: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Pr="00105DE8">
        <w:rPr>
          <w:rFonts w:cstheme="minorHAnsi"/>
          <w:lang w:val="es-MX"/>
        </w:rPr>
        <w:t xml:space="preserve">, pp. 27-28 “que debemos declarar e declaramos, pronunçiar e pronunçiamos, e constituimos e hordenamos e mandamos que todos los dichos conversos desçendientes del perverso linaje de los judíos, en qualquier guisa que sea, así por virtud del derecho canónigo y civil, que contra ellos determina sobre las cosas de suso declaradas … por razón de las heregías e otros delitos, insultos, sediçiones e crímenes por ellos fasta oy cometidos e perpetrados, que que de suso de hazen mençion, sean avidos e tenidos como el derecho los á e tiene por infames, inhábiles, incapaçes e indignos para aver todo ofiçio e benefiçio público y privado en la dicha çibdad de Toledo...” </w:t>
      </w:r>
      <w:r w:rsidRPr="00105DE8">
        <w:rPr>
          <w:rFonts w:cstheme="minorHAnsi"/>
        </w:rPr>
        <w:t>(all translations are my own)</w:t>
      </w:r>
    </w:p>
  </w:footnote>
  <w:footnote w:id="5">
    <w:p w14:paraId="312EB2D8"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w:t>
      </w:r>
      <w:r w:rsidRPr="00105DE8">
        <w:rPr>
          <w:rFonts w:cstheme="minorHAnsi"/>
          <w:i/>
        </w:rPr>
        <w:t>Sentencia-Estatuto</w:t>
      </w:r>
      <w:r w:rsidRPr="00105DE8">
        <w:rPr>
          <w:rFonts w:cstheme="minorHAnsi"/>
        </w:rPr>
        <w:t xml:space="preserve">, p. 29 “christianos viejos lindos”. The terms that would gain popularity with the proliferation of blood purity statutes over the next couple of centuries would be </w:t>
      </w:r>
      <w:r w:rsidRPr="00105DE8">
        <w:rPr>
          <w:rFonts w:cstheme="minorHAnsi"/>
          <w:i/>
        </w:rPr>
        <w:t>cristianos viejos</w:t>
      </w:r>
      <w:r w:rsidRPr="00105DE8">
        <w:rPr>
          <w:rFonts w:cstheme="minorHAnsi"/>
        </w:rPr>
        <w:t xml:space="preserve"> and </w:t>
      </w:r>
      <w:r w:rsidRPr="00105DE8">
        <w:rPr>
          <w:rFonts w:cstheme="minorHAnsi"/>
          <w:i/>
        </w:rPr>
        <w:t>cristianos nuevos</w:t>
      </w:r>
      <w:r w:rsidRPr="00105DE8">
        <w:rPr>
          <w:rFonts w:cstheme="minorHAnsi"/>
        </w:rPr>
        <w:t xml:space="preserve">, commonly translated as Old Christians and New Christians. To the term </w:t>
      </w:r>
      <w:r w:rsidRPr="00105DE8">
        <w:rPr>
          <w:rFonts w:cstheme="minorHAnsi"/>
          <w:i/>
        </w:rPr>
        <w:t>crisitanos viejos</w:t>
      </w:r>
      <w:r w:rsidRPr="00105DE8">
        <w:rPr>
          <w:rFonts w:cstheme="minorHAnsi"/>
        </w:rPr>
        <w:t xml:space="preserve"> an additional qualifier was often added, </w:t>
      </w:r>
      <w:r w:rsidRPr="00105DE8">
        <w:rPr>
          <w:rFonts w:cstheme="minorHAnsi"/>
          <w:i/>
        </w:rPr>
        <w:t>cristianos viejos lindos</w:t>
      </w:r>
      <w:r w:rsidRPr="00105DE8">
        <w:rPr>
          <w:rFonts w:cstheme="minorHAnsi"/>
        </w:rPr>
        <w:t xml:space="preserve">. Lindos is derived from the Latin </w:t>
      </w:r>
      <w:r w:rsidRPr="00105DE8">
        <w:rPr>
          <w:rFonts w:cstheme="minorHAnsi"/>
          <w:i/>
        </w:rPr>
        <w:t>limpidus</w:t>
      </w:r>
      <w:r w:rsidRPr="00105DE8">
        <w:rPr>
          <w:rFonts w:cstheme="minorHAnsi"/>
        </w:rPr>
        <w:t xml:space="preserve">, and serves to emphasize the evident nature of their lack of Jewish heritage. I translate it hear as </w:t>
      </w:r>
      <w:r w:rsidRPr="00105DE8">
        <w:rPr>
          <w:rFonts w:cstheme="minorHAnsi"/>
          <w:i/>
        </w:rPr>
        <w:t>clear</w:t>
      </w:r>
      <w:r w:rsidRPr="00105DE8">
        <w:rPr>
          <w:rFonts w:cstheme="minorHAnsi"/>
        </w:rPr>
        <w:t xml:space="preserve"> in order to distinguish it from</w:t>
      </w:r>
      <w:r w:rsidRPr="00105DE8">
        <w:rPr>
          <w:rFonts w:cstheme="minorHAnsi"/>
          <w:i/>
        </w:rPr>
        <w:t xml:space="preserve"> limpieza</w:t>
      </w:r>
      <w:r w:rsidRPr="00105DE8">
        <w:rPr>
          <w:rFonts w:cstheme="minorHAnsi"/>
        </w:rPr>
        <w:t xml:space="preserve">, which is translated as </w:t>
      </w:r>
      <w:r w:rsidRPr="00105DE8">
        <w:rPr>
          <w:rFonts w:cstheme="minorHAnsi"/>
          <w:i/>
        </w:rPr>
        <w:t>pure</w:t>
      </w:r>
      <w:r w:rsidRPr="00105DE8">
        <w:rPr>
          <w:rFonts w:cstheme="minorHAnsi"/>
        </w:rPr>
        <w:t>.</w:t>
      </w:r>
    </w:p>
  </w:footnote>
  <w:footnote w:id="6">
    <w:p w14:paraId="678FDCB0"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w:t>
      </w:r>
      <w:r w:rsidR="00645124">
        <w:rPr>
          <w:rFonts w:cstheme="minorHAnsi"/>
        </w:rPr>
        <w:t xml:space="preserve">See cited works by </w:t>
      </w:r>
      <w:r w:rsidRPr="00105DE8">
        <w:rPr>
          <w:rFonts w:cstheme="minorHAnsi"/>
        </w:rPr>
        <w:t>Maria Elena Martinez, Albert Sicroff, Benzio</w:t>
      </w:r>
      <w:r w:rsidR="00645124">
        <w:rPr>
          <w:rFonts w:cstheme="minorHAnsi"/>
        </w:rPr>
        <w:t>n Netanyahu, and Eloy Benito Ruano</w:t>
      </w:r>
    </w:p>
  </w:footnote>
  <w:footnote w:id="7">
    <w:p w14:paraId="15122C13"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Martinez’s G</w:t>
      </w:r>
      <w:r w:rsidRPr="00105DE8">
        <w:rPr>
          <w:rFonts w:cstheme="minorHAnsi"/>
          <w:i/>
        </w:rPr>
        <w:t>enealogical Fictions</w:t>
      </w:r>
      <w:r w:rsidRPr="00105DE8">
        <w:rPr>
          <w:rFonts w:cstheme="minorHAnsi"/>
        </w:rPr>
        <w:t xml:space="preserve"> and Sicroff’s </w:t>
      </w:r>
      <w:r w:rsidRPr="00105DE8">
        <w:rPr>
          <w:rFonts w:cstheme="minorHAnsi"/>
          <w:i/>
        </w:rPr>
        <w:t>Los estatutos de limpieza de sangre</w:t>
      </w:r>
      <w:r w:rsidRPr="00105DE8">
        <w:rPr>
          <w:rFonts w:cstheme="minorHAnsi"/>
        </w:rPr>
        <w:t xml:space="preserve"> stand as the two preeminent examples.</w:t>
      </w:r>
    </w:p>
  </w:footnote>
  <w:footnote w:id="8">
    <w:p w14:paraId="75318A19"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Nor is that the claim of any of the other scholars whose work on the </w:t>
      </w:r>
      <w:r w:rsidRPr="00105DE8">
        <w:rPr>
          <w:rFonts w:cstheme="minorHAnsi"/>
          <w:i/>
        </w:rPr>
        <w:t>Sentencia-Estatuto</w:t>
      </w:r>
      <w:r w:rsidRPr="00105DE8">
        <w:rPr>
          <w:rFonts w:cstheme="minorHAnsi"/>
        </w:rPr>
        <w:t xml:space="preserve"> I’ve cited.</w:t>
      </w:r>
    </w:p>
  </w:footnote>
  <w:footnote w:id="9">
    <w:p w14:paraId="088BDFF0"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For an overview of these debates see Gil Anidjar’s “The History of Race, the Race of History”.</w:t>
      </w:r>
    </w:p>
  </w:footnote>
  <w:footnote w:id="10">
    <w:p w14:paraId="791AC197"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Anidjar draws attention to this while casting suspicion on scholarly projects that aim to show the presence of racial structures in an ever-increasing set of times and locations. “History of Race”. 519-520</w:t>
      </w:r>
    </w:p>
  </w:footnote>
  <w:footnote w:id="11">
    <w:p w14:paraId="1281C208"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Indeed, as Michel-Rolph Truillot argues in </w:t>
      </w:r>
      <w:r w:rsidRPr="00105DE8">
        <w:rPr>
          <w:rFonts w:cstheme="minorHAnsi"/>
          <w:i/>
        </w:rPr>
        <w:t>Silencing the Past</w:t>
      </w:r>
      <w:r w:rsidRPr="00105DE8">
        <w:rPr>
          <w:rFonts w:cstheme="minorHAnsi"/>
        </w:rPr>
        <w:t>, there may be some events which could not be recognized as such in their time and whose histories we may still be unable to write.</w:t>
      </w:r>
    </w:p>
  </w:footnote>
  <w:footnote w:id="12">
    <w:p w14:paraId="16FD7045"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w:t>
      </w:r>
      <w:r w:rsidRPr="00105DE8">
        <w:rPr>
          <w:rFonts w:cstheme="minorHAnsi"/>
          <w:i/>
        </w:rPr>
        <w:t>Origins</w:t>
      </w:r>
      <w:r w:rsidRPr="00105DE8">
        <w:rPr>
          <w:rFonts w:cstheme="minorHAnsi"/>
        </w:rPr>
        <w:t>, pp. 334-335</w:t>
      </w:r>
    </w:p>
  </w:footnote>
  <w:footnote w:id="13">
    <w:p w14:paraId="13C8C5DC"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w:t>
      </w:r>
      <w:r w:rsidRPr="00105DE8">
        <w:rPr>
          <w:rFonts w:cstheme="minorHAnsi"/>
          <w:i/>
        </w:rPr>
        <w:t>Origins</w:t>
      </w:r>
      <w:r w:rsidRPr="00105DE8">
        <w:rPr>
          <w:rFonts w:cstheme="minorHAnsi"/>
        </w:rPr>
        <w:t>, p. 341</w:t>
      </w:r>
    </w:p>
  </w:footnote>
  <w:footnote w:id="14">
    <w:p w14:paraId="185B44A4"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w:t>
      </w:r>
      <w:r w:rsidRPr="00105DE8">
        <w:rPr>
          <w:rFonts w:cstheme="minorHAnsi"/>
          <w:i/>
        </w:rPr>
        <w:t>Origins</w:t>
      </w:r>
      <w:r w:rsidRPr="00105DE8">
        <w:rPr>
          <w:rFonts w:cstheme="minorHAnsi"/>
        </w:rPr>
        <w:t>, p. 347</w:t>
      </w:r>
    </w:p>
  </w:footnote>
  <w:footnote w:id="15">
    <w:p w14:paraId="00651881"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Indeed that is what one of the leading historians of the era, Benzion Netanyahu does in his monumental study </w:t>
      </w:r>
      <w:r w:rsidRPr="00105DE8">
        <w:rPr>
          <w:rFonts w:cstheme="minorHAnsi"/>
          <w:i/>
        </w:rPr>
        <w:t>The Origins of the Inquisition in Fifteenth Century Spain</w:t>
      </w:r>
      <w:r w:rsidRPr="00105DE8">
        <w:rPr>
          <w:rFonts w:cstheme="minorHAnsi"/>
        </w:rPr>
        <w:t>.</w:t>
      </w:r>
    </w:p>
  </w:footnote>
  <w:footnote w:id="16">
    <w:p w14:paraId="4169C6EF"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rPr>
        <w:t xml:space="preserve"> Although it bore Sarmiento’s name, Gonzalez Rolan &amp; Saquero Suarez-Somonte persuasively argue that it was in fact penned by Marcos Garcia de Mora. </w:t>
      </w:r>
      <w:r w:rsidRPr="00105DE8">
        <w:rPr>
          <w:rFonts w:cstheme="minorHAnsi"/>
          <w:lang w:val="es-MX"/>
        </w:rPr>
        <w:t xml:space="preserve">See p. 10, n. 26 </w:t>
      </w:r>
    </w:p>
  </w:footnote>
  <w:footnote w:id="17">
    <w:p w14:paraId="12018FE7"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“don Álvaro de Luna, vuestro condestable, tiránicamente á disipado e devastado e usurpa e devasta de cada día los vuestros reinos e señoríos, tomando para sí el reinar e señorar, gloria e potençia de vuestra corona, que solamente a vuestra realeza pertenesçen”</w:t>
      </w:r>
      <w:r w:rsidR="00645124">
        <w:rPr>
          <w:rFonts w:cstheme="minorHAnsi"/>
          <w:lang w:val="es-MX"/>
        </w:rPr>
        <w:t>,</w:t>
      </w:r>
      <w:r w:rsidR="00645124" w:rsidRPr="00645124">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Pr="00105DE8">
        <w:rPr>
          <w:rFonts w:cstheme="minorHAnsi"/>
          <w:lang w:val="es-MX"/>
        </w:rPr>
        <w:t>, p. 3</w:t>
      </w:r>
    </w:p>
  </w:footnote>
  <w:footnote w:id="18">
    <w:p w14:paraId="60FA40F2"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“personas infieles e erejes”,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 3</w:t>
      </w:r>
    </w:p>
  </w:footnote>
  <w:footnote w:id="19">
    <w:p w14:paraId="7B9A6E4F"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“es notorio que el dicho don Álvaro de Luna, vuestro condestable, públicamente á defendido e reçebtado e defiende e reçebta a los conversos de linaje de los judíos de vuestros señoríos e reinos, los quales por la mayor parte son fallados ser infieles e herejes, e han judaizado e judaizan, e han guardado e guardan los más d’ellos los ritos e cerimonias de los judíos, aspostatando la crisma e bautismo que reçevieron, demonstrando por obras e palabras que lo rescebieron en el cuero e non en los coraçones ni en las voluntades, a fin que so color e nonbre de cristianos, prebaricando, estroxesen las ánimas e cuerpos e faziendas de los cristianos viejos de la fee católica, según lo han fecho e fazen.”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pp. 5-6</w:t>
      </w:r>
    </w:p>
  </w:footnote>
  <w:footnote w:id="20">
    <w:p w14:paraId="6E86CA34"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Suplicación</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pp. 8-10</w:t>
      </w:r>
    </w:p>
  </w:footnote>
  <w:footnote w:id="21">
    <w:p w14:paraId="44081052"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Sentencia-Estatuto</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pp. 27, 29</w:t>
      </w:r>
    </w:p>
  </w:footnote>
  <w:footnote w:id="22">
    <w:p w14:paraId="0466F521"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For more on the attempts to identify it see Gonzalez Rolan &amp; Saquero Suarez-Somonte , pp. 16-17 and Benito Ruano, ch. 2.1 </w:t>
      </w:r>
    </w:p>
  </w:footnote>
  <w:footnote w:id="23">
    <w:p w14:paraId="7CD6B692"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De La Sentencia-Estatuto</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pp. 17-18</w:t>
      </w:r>
    </w:p>
  </w:footnote>
  <w:footnote w:id="24">
    <w:p w14:paraId="5426F919"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“Et por Sanctorum Patrum obedire et implere precepta, iussit (amplicifet Deus regnum ipsium) un nullus iudeus, nullus nuper renatus, haber mandamentum super nullum christianum in Toleto nec in suo territorio.” </w:t>
      </w:r>
      <w:r w:rsidRPr="00105DE8">
        <w:rPr>
          <w:rFonts w:cstheme="minorHAnsi"/>
          <w:i/>
          <w:lang w:val="es-MX"/>
        </w:rPr>
        <w:t>De La Sentencia-Estatuto</w:t>
      </w:r>
      <w:r w:rsidRPr="00105DE8">
        <w:rPr>
          <w:rFonts w:cstheme="minorHAnsi"/>
          <w:lang w:val="es-MX"/>
        </w:rPr>
        <w:t>, p. 18</w:t>
      </w:r>
    </w:p>
  </w:footnote>
  <w:footnote w:id="25">
    <w:p w14:paraId="762F09DF"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Origins</w:t>
      </w:r>
      <w:r w:rsidRPr="00105DE8">
        <w:rPr>
          <w:rFonts w:cstheme="minorHAnsi"/>
          <w:lang w:val="es-MX"/>
        </w:rPr>
        <w:t>, p. 369</w:t>
      </w:r>
    </w:p>
  </w:footnote>
  <w:footnote w:id="26">
    <w:p w14:paraId="059AAF65"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De La Sentencia-Estatuto</w:t>
      </w:r>
      <w:r w:rsidRPr="00105DE8">
        <w:rPr>
          <w:rFonts w:cstheme="minorHAnsi"/>
          <w:lang w:val="es-MX"/>
        </w:rPr>
        <w:t>, p. 16</w:t>
      </w:r>
    </w:p>
  </w:footnote>
  <w:footnote w:id="27">
    <w:p w14:paraId="1A476114"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Vidal Doval, “Nos soli sumus christiani”, p. 227-228</w:t>
      </w:r>
    </w:p>
  </w:footnote>
  <w:footnote w:id="28">
    <w:p w14:paraId="3F63F643"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Netanyahu, </w:t>
      </w:r>
      <w:r w:rsidRPr="00105DE8">
        <w:rPr>
          <w:rFonts w:cstheme="minorHAnsi"/>
          <w:i/>
        </w:rPr>
        <w:t>Origins</w:t>
      </w:r>
      <w:r w:rsidRPr="00105DE8">
        <w:rPr>
          <w:rFonts w:cstheme="minorHAnsi"/>
        </w:rPr>
        <w:t>, p. 258</w:t>
      </w:r>
    </w:p>
  </w:footnote>
  <w:footnote w:id="29">
    <w:p w14:paraId="78EB3271"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Here I am drawing on Sylvia Wynter’s reworking of Foucault’s concept of the episteme in “1492: A New World View”</w:t>
      </w:r>
    </w:p>
  </w:footnote>
  <w:footnote w:id="30">
    <w:p w14:paraId="71FB0B8A"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Wynter, “1492”, p. 32</w:t>
      </w:r>
    </w:p>
  </w:footnote>
  <w:footnote w:id="31">
    <w:p w14:paraId="46F69BF4" w14:textId="4A9C4B8B"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I am thinking here of Trouillot’s analysis of the Haitian Revolution in </w:t>
      </w:r>
      <w:r w:rsidRPr="00105DE8">
        <w:rPr>
          <w:rFonts w:cstheme="minorHAnsi"/>
          <w:i/>
        </w:rPr>
        <w:t>Silencing the Past</w:t>
      </w:r>
      <w:r w:rsidRPr="00105DE8">
        <w:rPr>
          <w:rFonts w:cstheme="minorHAnsi"/>
        </w:rPr>
        <w:t xml:space="preserve">. </w:t>
      </w:r>
      <w:r w:rsidR="007D4944">
        <w:rPr>
          <w:rFonts w:cstheme="minorHAnsi"/>
        </w:rPr>
        <w:t xml:space="preserve">The inability of epistemic structures to account for the </w:t>
      </w:r>
      <w:r w:rsidR="00075F27">
        <w:rPr>
          <w:rFonts w:cstheme="minorHAnsi"/>
        </w:rPr>
        <w:t xml:space="preserve">possibility of an event, as in </w:t>
      </w:r>
    </w:p>
  </w:footnote>
  <w:footnote w:id="32">
    <w:p w14:paraId="7DC9ABFD"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De La Sentencia-Estatuto</w:t>
      </w:r>
      <w:r w:rsidRPr="00105DE8">
        <w:rPr>
          <w:rFonts w:cstheme="minorHAnsi"/>
          <w:lang w:val="es-MX"/>
        </w:rPr>
        <w:t>, p. XLIX-</w:t>
      </w:r>
      <w:r w:rsidR="00645124">
        <w:rPr>
          <w:rFonts w:cstheme="minorHAnsi"/>
          <w:lang w:val="es-MX"/>
        </w:rPr>
        <w:t>LIII</w:t>
      </w:r>
    </w:p>
  </w:footnote>
  <w:footnote w:id="33">
    <w:p w14:paraId="3CD80CA2" w14:textId="77777777" w:rsidR="00272552" w:rsidRPr="00E12B1B"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“...el condestable Don Álbaro de Luna e sus sequaçes y aliados, nuestros enemigos, faziéndonos cruel guerra con mano armada de sangre y fuego y talas y daños y robos como si fuésemos moros, enemigos de la fe...” </w:t>
      </w:r>
      <w:r w:rsidRPr="00E12B1B">
        <w:rPr>
          <w:rFonts w:cstheme="minorHAnsi"/>
          <w:i/>
          <w:lang w:val="es-MX"/>
        </w:rPr>
        <w:t>Sentencia-Estatuto</w:t>
      </w:r>
      <w:r w:rsidRPr="00E12B1B">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E12B1B">
        <w:rPr>
          <w:rFonts w:cstheme="minorHAnsi"/>
          <w:lang w:val="es-MX"/>
        </w:rPr>
        <w:t>p. 25</w:t>
      </w:r>
    </w:p>
  </w:footnote>
  <w:footnote w:id="34">
    <w:p w14:paraId="47698947" w14:textId="77777777" w:rsidR="00272552" w:rsidRPr="00E12B1B" w:rsidRDefault="00272552" w:rsidP="00105DE8">
      <w:pPr>
        <w:pStyle w:val="FootnoteText"/>
        <w:rPr>
          <w:rFonts w:cstheme="minorHAnsi"/>
          <w:lang w:val="es-MX"/>
        </w:rPr>
      </w:pPr>
      <w:r w:rsidRPr="00105DE8">
        <w:rPr>
          <w:rStyle w:val="FootnoteReference"/>
          <w:rFonts w:cstheme="minorHAnsi"/>
        </w:rPr>
        <w:footnoteRef/>
      </w:r>
      <w:r w:rsidRPr="00E12B1B">
        <w:rPr>
          <w:rFonts w:cstheme="minorHAnsi"/>
          <w:lang w:val="es-MX"/>
        </w:rPr>
        <w:t xml:space="preserve"> </w:t>
      </w:r>
      <w:r w:rsidRPr="00E12B1B">
        <w:rPr>
          <w:rFonts w:cstheme="minorHAnsi"/>
          <w:i/>
          <w:lang w:val="es-MX"/>
        </w:rPr>
        <w:t>Origins</w:t>
      </w:r>
      <w:r w:rsidRPr="00E12B1B">
        <w:rPr>
          <w:rFonts w:cstheme="minorHAnsi"/>
          <w:lang w:val="es-MX"/>
        </w:rPr>
        <w:t>, pp. 334-335</w:t>
      </w:r>
    </w:p>
  </w:footnote>
  <w:footnote w:id="35">
    <w:p w14:paraId="36C44E3F"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rPr>
        <w:t xml:space="preserve"> Albert Sicroff also points to the lack of morisco penetration into high society as a factor in their early elision from the statutes. </w:t>
      </w:r>
      <w:r w:rsidRPr="00105DE8">
        <w:rPr>
          <w:rFonts w:cstheme="minorHAnsi"/>
          <w:i/>
          <w:lang w:val="es-MX"/>
        </w:rPr>
        <w:t>Limpieza</w:t>
      </w:r>
      <w:r w:rsidRPr="00105DE8">
        <w:rPr>
          <w:rFonts w:cstheme="minorHAnsi"/>
          <w:lang w:val="es-MX"/>
        </w:rPr>
        <w:t>, pp. 38-39</w:t>
      </w:r>
    </w:p>
  </w:footnote>
  <w:footnote w:id="36">
    <w:p w14:paraId="23FA9E7B"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“Quienes originan división en la santa iglesia o siembran discordias en ella, ¿qué otra cosa pretenden sino separar el cuerpo místico de Cristo, compuesto y ensamblado de diversos miembros, de Cristo, su cabeza, arrebatar a la esposa de su marido o bien arrancar sus miembros y devolverla a su esposo Cristo Nuestro Señor así desfigurada y mutilada...” </w:t>
      </w:r>
      <w:r w:rsidRPr="00105DE8">
        <w:rPr>
          <w:rFonts w:cstheme="minorHAnsi"/>
          <w:i/>
          <w:lang w:val="es-MX"/>
        </w:rPr>
        <w:t>Sermo</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pp. 71-72</w:t>
      </w:r>
    </w:p>
  </w:footnote>
  <w:footnote w:id="37">
    <w:p w14:paraId="609E951F"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“Por esta razón los que poseen la fe de Nuestro Señor Jesucristo y están incluidos dentro de su Iglesia no se llaman con el nombre de alguna nación o gente determinada, como otros que mandaron en el mundo acostumbraron a llamarse. No se denomina caldeos, persas o griegos, romanos ni hispanos, judíos o gentiles, sino con un nombre general, a saber, cristianos, tomados de Cristo, redentor de todos...” </w:t>
      </w:r>
      <w:r w:rsidRPr="00105DE8">
        <w:rPr>
          <w:rFonts w:cstheme="minorHAnsi"/>
          <w:i/>
          <w:lang w:val="es-MX"/>
        </w:rPr>
        <w:t>Sermo</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pp. 68-69</w:t>
      </w:r>
    </w:p>
  </w:footnote>
  <w:footnote w:id="38">
    <w:p w14:paraId="3ECBA832"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Sermo</w:t>
      </w:r>
      <w:r w:rsidR="00645124">
        <w:rPr>
          <w:rFonts w:cstheme="minorHAnsi"/>
          <w:i/>
          <w:lang w:val="es-MX"/>
        </w:rPr>
        <w:t>,</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 77</w:t>
      </w:r>
    </w:p>
  </w:footnote>
  <w:footnote w:id="39">
    <w:p w14:paraId="26004927"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Vidal Doval, </w:t>
      </w:r>
      <w:r w:rsidRPr="00105DE8">
        <w:rPr>
          <w:rFonts w:cstheme="minorHAnsi"/>
          <w:i/>
          <w:lang w:val="es-MX"/>
        </w:rPr>
        <w:t>Miseria Hispania</w:t>
      </w:r>
      <w:r w:rsidRPr="00105DE8">
        <w:rPr>
          <w:rFonts w:cstheme="minorHAnsi"/>
          <w:lang w:val="es-MX"/>
        </w:rPr>
        <w:t>, p. 8</w:t>
      </w:r>
    </w:p>
  </w:footnote>
  <w:footnote w:id="40">
    <w:p w14:paraId="74031F7A"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lang w:val="es-MX"/>
        </w:rPr>
        <w:t xml:space="preserve"> “E mejor sería a los tales cavar, arar e sarmentar e trabajar en los semejantes trabajos, así como sus padres y abuelos y linages ficieron, que no poner su sacrílega y descomulgada boca en el linage divino...” </w:t>
      </w:r>
      <w:r w:rsidRPr="00105DE8">
        <w:rPr>
          <w:rFonts w:cstheme="minorHAnsi"/>
          <w:i/>
        </w:rPr>
        <w:t xml:space="preserve">Contra Algunos, </w:t>
      </w:r>
      <w:r w:rsidR="00645124" w:rsidRPr="00E12B1B">
        <w:rPr>
          <w:rFonts w:cstheme="minorHAnsi"/>
        </w:rPr>
        <w:t>In</w:t>
      </w:r>
      <w:r w:rsidR="00645124" w:rsidRPr="00E12B1B">
        <w:rPr>
          <w:rFonts w:cstheme="minorHAnsi"/>
          <w:i/>
        </w:rPr>
        <w:t xml:space="preserve"> De la Sentencia-Estatuto</w:t>
      </w:r>
      <w:r w:rsidR="00645124" w:rsidRPr="00E12B1B">
        <w:rPr>
          <w:rFonts w:cstheme="minorHAnsi"/>
        </w:rPr>
        <w:t xml:space="preserve">, </w:t>
      </w:r>
      <w:r w:rsidRPr="00105DE8">
        <w:rPr>
          <w:rFonts w:cstheme="minorHAnsi"/>
        </w:rPr>
        <w:t>pp. 139-140</w:t>
      </w:r>
    </w:p>
  </w:footnote>
  <w:footnote w:id="41">
    <w:p w14:paraId="36DB8202" w14:textId="77777777" w:rsidR="00272552" w:rsidRPr="00105DE8" w:rsidRDefault="00272552" w:rsidP="00105DE8">
      <w:pPr>
        <w:pStyle w:val="FootnoteText"/>
        <w:rPr>
          <w:rFonts w:cstheme="minorHAnsi"/>
        </w:rPr>
      </w:pPr>
      <w:r w:rsidRPr="00105DE8">
        <w:rPr>
          <w:rStyle w:val="FootnoteReference"/>
          <w:rFonts w:cstheme="minorHAnsi"/>
        </w:rPr>
        <w:footnoteRef/>
      </w:r>
      <w:r w:rsidRPr="00105DE8">
        <w:rPr>
          <w:rFonts w:cstheme="minorHAnsi"/>
        </w:rPr>
        <w:t xml:space="preserve"> While that is the title he gave the piece, it is now often published and referred to as the </w:t>
      </w:r>
      <w:r w:rsidRPr="00105DE8">
        <w:rPr>
          <w:rFonts w:cstheme="minorHAnsi"/>
          <w:i/>
        </w:rPr>
        <w:t>Memorial</w:t>
      </w:r>
      <w:r w:rsidRPr="00105DE8">
        <w:rPr>
          <w:rFonts w:cstheme="minorHAnsi"/>
        </w:rPr>
        <w:t>.</w:t>
      </w:r>
    </w:p>
  </w:footnote>
  <w:footnote w:id="42">
    <w:p w14:paraId="1E1755C7"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Apelación</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 213</w:t>
      </w:r>
    </w:p>
  </w:footnote>
  <w:footnote w:id="43">
    <w:p w14:paraId="00427EFA" w14:textId="77777777" w:rsidR="00272552" w:rsidRPr="00105DE8" w:rsidRDefault="00272552"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Apelación</w:t>
      </w:r>
      <w:r w:rsidR="006F140F"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006F140F" w:rsidRPr="00105DE8">
        <w:rPr>
          <w:rFonts w:cstheme="minorHAnsi"/>
          <w:lang w:val="es-MX"/>
        </w:rPr>
        <w:t>pp. 200, 220</w:t>
      </w:r>
    </w:p>
  </w:footnote>
  <w:footnote w:id="44">
    <w:p w14:paraId="120DDB78" w14:textId="77777777" w:rsidR="006F140F" w:rsidRPr="00105DE8" w:rsidRDefault="006F140F"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Apelación</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pp. 222-223</w:t>
      </w:r>
    </w:p>
  </w:footnote>
  <w:footnote w:id="45">
    <w:p w14:paraId="38A9493C" w14:textId="77777777" w:rsidR="008773BD" w:rsidRPr="00105DE8" w:rsidRDefault="008773BD"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“disputar ante Dios de nobleza de linaje no es más que disputar el estiércol de diversos muladares quál es el mejor, pues quanto a la condiçión humana todos los hombres somos estiércol y ceniza...”</w:t>
      </w:r>
      <w:r w:rsidRPr="00105DE8">
        <w:rPr>
          <w:rFonts w:cstheme="minorHAnsi"/>
          <w:i/>
          <w:lang w:val="es-MX"/>
        </w:rPr>
        <w:t xml:space="preserve"> Apelación</w:t>
      </w:r>
      <w:r w:rsidRPr="00105DE8">
        <w:rPr>
          <w:rFonts w:cstheme="minorHAnsi"/>
          <w:lang w:val="es-MX"/>
        </w:rPr>
        <w:t xml:space="preserve">, </w:t>
      </w:r>
      <w:r w:rsidR="00645124">
        <w:rPr>
          <w:rFonts w:cstheme="minorHAnsi"/>
          <w:lang w:val="es-MX"/>
        </w:rPr>
        <w:t>In</w:t>
      </w:r>
      <w:r w:rsidR="00645124" w:rsidRPr="00645124">
        <w:rPr>
          <w:rFonts w:cstheme="minorHAnsi"/>
          <w:i/>
          <w:lang w:val="es-MX"/>
        </w:rPr>
        <w:t xml:space="preserve"> </w:t>
      </w:r>
      <w:r w:rsidR="00645124" w:rsidRPr="00105DE8">
        <w:rPr>
          <w:rFonts w:cstheme="minorHAnsi"/>
          <w:i/>
          <w:lang w:val="es-MX"/>
        </w:rPr>
        <w:t>De la Sentencia-Estatuto</w:t>
      </w:r>
      <w:r w:rsidR="00645124" w:rsidRPr="00105DE8">
        <w:rPr>
          <w:rFonts w:cstheme="minorHAnsi"/>
          <w:lang w:val="es-MX"/>
        </w:rPr>
        <w:t xml:space="preserve">, </w:t>
      </w:r>
      <w:r w:rsidRPr="00105DE8">
        <w:rPr>
          <w:rFonts w:cstheme="minorHAnsi"/>
          <w:lang w:val="es-MX"/>
        </w:rPr>
        <w:t>p. 235</w:t>
      </w:r>
    </w:p>
  </w:footnote>
  <w:footnote w:id="46">
    <w:p w14:paraId="516B654F" w14:textId="77777777" w:rsidR="00666FB7" w:rsidRPr="00105DE8" w:rsidRDefault="00666FB7"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w:t>
      </w:r>
      <w:r w:rsidRPr="00105DE8">
        <w:rPr>
          <w:rFonts w:cstheme="minorHAnsi"/>
          <w:i/>
          <w:lang w:val="es-MX"/>
        </w:rPr>
        <w:t>Origins</w:t>
      </w:r>
      <w:r w:rsidRPr="00105DE8">
        <w:rPr>
          <w:rFonts w:cstheme="minorHAnsi"/>
          <w:lang w:val="es-MX"/>
        </w:rPr>
        <w:t>, p. 347</w:t>
      </w:r>
    </w:p>
  </w:footnote>
  <w:footnote w:id="47">
    <w:p w14:paraId="201A63F0" w14:textId="77777777" w:rsidR="007F3C0F" w:rsidRPr="00105DE8" w:rsidRDefault="007F3C0F"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For more see Rosa Vidal Doval’s </w:t>
      </w:r>
      <w:r w:rsidRPr="00105DE8">
        <w:rPr>
          <w:rFonts w:cstheme="minorHAnsi"/>
          <w:i/>
          <w:lang w:val="es-MX"/>
        </w:rPr>
        <w:t>Misera Hispania</w:t>
      </w:r>
      <w:r w:rsidRPr="00105DE8">
        <w:rPr>
          <w:rFonts w:cstheme="minorHAnsi"/>
          <w:lang w:val="es-MX"/>
        </w:rPr>
        <w:t>.</w:t>
      </w:r>
    </w:p>
  </w:footnote>
  <w:footnote w:id="48">
    <w:p w14:paraId="2F78B8AB" w14:textId="77777777" w:rsidR="00F37B61" w:rsidRPr="00105DE8" w:rsidRDefault="00F37B61" w:rsidP="00105DE8">
      <w:pPr>
        <w:pStyle w:val="FootnoteText"/>
        <w:rPr>
          <w:rFonts w:cstheme="minorHAnsi"/>
          <w:lang w:val="es-MX"/>
        </w:rPr>
      </w:pPr>
      <w:r w:rsidRPr="00105DE8">
        <w:rPr>
          <w:rStyle w:val="FootnoteReference"/>
          <w:rFonts w:cstheme="minorHAnsi"/>
        </w:rPr>
        <w:footnoteRef/>
      </w:r>
      <w:r w:rsidRPr="00105DE8">
        <w:rPr>
          <w:rFonts w:cstheme="minorHAnsi"/>
          <w:lang w:val="es-MX"/>
        </w:rPr>
        <w:t xml:space="preserve"> Vidal Doval, </w:t>
      </w:r>
      <w:r w:rsidRPr="00105DE8">
        <w:rPr>
          <w:rFonts w:cstheme="minorHAnsi"/>
          <w:i/>
          <w:lang w:val="es-MX"/>
        </w:rPr>
        <w:t>Miseria Hispania</w:t>
      </w:r>
      <w:r w:rsidRPr="00105DE8">
        <w:rPr>
          <w:rFonts w:cstheme="minorHAnsi"/>
          <w:lang w:val="es-MX"/>
        </w:rPr>
        <w:t>, p. 2-4</w:t>
      </w:r>
    </w:p>
  </w:footnote>
  <w:footnote w:id="49">
    <w:p w14:paraId="455140BA" w14:textId="77777777" w:rsidR="00F37B61" w:rsidRPr="00105DE8" w:rsidRDefault="00F37B61" w:rsidP="00105DE8">
      <w:pPr>
        <w:pStyle w:val="FootnoteText"/>
        <w:rPr>
          <w:rFonts w:cstheme="minorHAnsi"/>
          <w:lang w:val="it-IT"/>
        </w:rPr>
      </w:pPr>
      <w:r w:rsidRPr="00105DE8">
        <w:rPr>
          <w:rStyle w:val="FootnoteReference"/>
          <w:rFonts w:cstheme="minorHAnsi"/>
        </w:rPr>
        <w:footnoteRef/>
      </w:r>
      <w:r w:rsidRPr="00105DE8">
        <w:rPr>
          <w:rFonts w:cstheme="minorHAnsi"/>
          <w:lang w:val="it-IT"/>
        </w:rPr>
        <w:t xml:space="preserve"> In Vidal Doval, </w:t>
      </w:r>
      <w:r w:rsidRPr="00105DE8">
        <w:rPr>
          <w:rFonts w:cstheme="minorHAnsi"/>
          <w:i/>
          <w:lang w:val="it-IT"/>
        </w:rPr>
        <w:t>Miseria Hispania</w:t>
      </w:r>
      <w:r w:rsidRPr="00105DE8">
        <w:rPr>
          <w:rFonts w:cstheme="minorHAnsi"/>
          <w:lang w:val="it-IT"/>
        </w:rPr>
        <w:t>, p. 44-45</w:t>
      </w:r>
    </w:p>
  </w:footnote>
  <w:footnote w:id="50">
    <w:p w14:paraId="592CF9C8" w14:textId="77777777" w:rsidR="00F37B61" w:rsidRPr="00105DE8" w:rsidRDefault="00F37B61" w:rsidP="00105DE8">
      <w:pPr>
        <w:pStyle w:val="FootnoteText"/>
        <w:rPr>
          <w:rFonts w:cstheme="minorHAnsi"/>
          <w:lang w:val="it-IT"/>
        </w:rPr>
      </w:pPr>
      <w:r w:rsidRPr="00105DE8">
        <w:rPr>
          <w:rStyle w:val="FootnoteReference"/>
          <w:rFonts w:cstheme="minorHAnsi"/>
        </w:rPr>
        <w:footnoteRef/>
      </w:r>
      <w:r w:rsidRPr="00105DE8">
        <w:rPr>
          <w:rFonts w:cstheme="minorHAnsi"/>
          <w:lang w:val="it-IT"/>
        </w:rPr>
        <w:t xml:space="preserve"> Vidal Doval, </w:t>
      </w:r>
      <w:r w:rsidRPr="00105DE8">
        <w:rPr>
          <w:rFonts w:cstheme="minorHAnsi"/>
          <w:i/>
          <w:lang w:val="it-IT"/>
        </w:rPr>
        <w:t>Miseria Hispania</w:t>
      </w:r>
      <w:r w:rsidRPr="00105DE8">
        <w:rPr>
          <w:rFonts w:cstheme="minorHAnsi"/>
          <w:lang w:val="it-IT"/>
        </w:rPr>
        <w:t>, p. 138-139</w:t>
      </w:r>
    </w:p>
  </w:footnote>
  <w:footnote w:id="51">
    <w:p w14:paraId="2D77622C" w14:textId="77777777" w:rsidR="00F37B61" w:rsidRPr="00105DE8" w:rsidRDefault="00F37B61" w:rsidP="00105DE8">
      <w:pPr>
        <w:pStyle w:val="FootnoteText"/>
        <w:rPr>
          <w:rFonts w:cstheme="minorHAnsi"/>
          <w:lang w:val="it-IT"/>
        </w:rPr>
      </w:pPr>
      <w:r w:rsidRPr="00105DE8">
        <w:rPr>
          <w:rStyle w:val="FootnoteReference"/>
          <w:rFonts w:cstheme="minorHAnsi"/>
        </w:rPr>
        <w:footnoteRef/>
      </w:r>
      <w:r w:rsidRPr="00105DE8">
        <w:rPr>
          <w:rFonts w:cstheme="minorHAnsi"/>
          <w:lang w:val="it-IT"/>
        </w:rPr>
        <w:t xml:space="preserve"> Vidal Doval, </w:t>
      </w:r>
      <w:r w:rsidRPr="00105DE8">
        <w:rPr>
          <w:rFonts w:cstheme="minorHAnsi"/>
          <w:i/>
          <w:lang w:val="it-IT"/>
        </w:rPr>
        <w:t>Miseria Hispania</w:t>
      </w:r>
      <w:r w:rsidRPr="00105DE8">
        <w:rPr>
          <w:rFonts w:cstheme="minorHAnsi"/>
          <w:lang w:val="it-IT"/>
        </w:rPr>
        <w:t>, p. 60</w:t>
      </w:r>
    </w:p>
  </w:footnote>
  <w:footnote w:id="52">
    <w:p w14:paraId="57FDF6C4" w14:textId="77777777" w:rsidR="00F37B61" w:rsidRPr="00105DE8" w:rsidRDefault="00F37B61" w:rsidP="00105DE8">
      <w:pPr>
        <w:pStyle w:val="FootnoteText"/>
        <w:rPr>
          <w:rFonts w:cstheme="minorHAnsi"/>
          <w:lang w:val="it-IT"/>
        </w:rPr>
      </w:pPr>
      <w:r w:rsidRPr="00105DE8">
        <w:rPr>
          <w:rStyle w:val="FootnoteReference"/>
          <w:rFonts w:cstheme="minorHAnsi"/>
        </w:rPr>
        <w:footnoteRef/>
      </w:r>
      <w:r w:rsidRPr="00105DE8">
        <w:rPr>
          <w:rFonts w:cstheme="minorHAnsi"/>
          <w:lang w:val="it-IT"/>
        </w:rPr>
        <w:t xml:space="preserve"> Vidal Doval, </w:t>
      </w:r>
      <w:r w:rsidRPr="00105DE8">
        <w:rPr>
          <w:rFonts w:cstheme="minorHAnsi"/>
          <w:i/>
          <w:lang w:val="it-IT"/>
        </w:rPr>
        <w:t>Miseria Hispania</w:t>
      </w:r>
      <w:r w:rsidRPr="00105DE8">
        <w:rPr>
          <w:rFonts w:cstheme="minorHAnsi"/>
          <w:lang w:val="it-IT"/>
        </w:rPr>
        <w:t>, p. 44</w:t>
      </w:r>
    </w:p>
  </w:footnote>
  <w:footnote w:id="53">
    <w:p w14:paraId="44F0B3AA" w14:textId="77777777" w:rsidR="00F37B61" w:rsidRPr="00105DE8" w:rsidRDefault="00F37B61" w:rsidP="00105DE8">
      <w:pPr>
        <w:pStyle w:val="FootnoteText"/>
        <w:rPr>
          <w:rFonts w:cstheme="minorHAnsi"/>
          <w:lang w:val="it-IT"/>
        </w:rPr>
      </w:pPr>
      <w:r w:rsidRPr="00105DE8">
        <w:rPr>
          <w:rStyle w:val="FootnoteReference"/>
          <w:rFonts w:cstheme="minorHAnsi"/>
        </w:rPr>
        <w:footnoteRef/>
      </w:r>
      <w:r w:rsidRPr="00105DE8">
        <w:rPr>
          <w:rFonts w:cstheme="minorHAnsi"/>
          <w:lang w:val="it-IT"/>
        </w:rPr>
        <w:t xml:space="preserve"> Vidal Doval, </w:t>
      </w:r>
      <w:r w:rsidRPr="00105DE8">
        <w:rPr>
          <w:rFonts w:cstheme="minorHAnsi"/>
          <w:i/>
          <w:lang w:val="it-IT"/>
        </w:rPr>
        <w:t>Miseria Hispania</w:t>
      </w:r>
      <w:r w:rsidRPr="00105DE8">
        <w:rPr>
          <w:rFonts w:cstheme="minorHAnsi"/>
          <w:lang w:val="it-IT"/>
        </w:rPr>
        <w:t>, p. 82-83</w:t>
      </w:r>
    </w:p>
  </w:footnote>
  <w:footnote w:id="54">
    <w:p w14:paraId="61296144" w14:textId="77777777" w:rsidR="00F37B61" w:rsidRPr="00105DE8" w:rsidRDefault="00F37B61" w:rsidP="00105DE8">
      <w:pPr>
        <w:pStyle w:val="FootnoteText"/>
        <w:rPr>
          <w:rFonts w:cstheme="minorHAnsi"/>
        </w:rPr>
      </w:pPr>
      <w:r w:rsidRPr="00105DE8">
        <w:rPr>
          <w:rStyle w:val="FootnoteReference"/>
          <w:rFonts w:cstheme="minorHAnsi"/>
        </w:rPr>
        <w:footnoteRef/>
      </w:r>
      <w:r w:rsidRPr="00105DE8">
        <w:rPr>
          <w:rFonts w:cstheme="minorHAnsi"/>
        </w:rPr>
        <w:t xml:space="preserve"> Martinez, </w:t>
      </w:r>
      <w:r w:rsidRPr="00105DE8">
        <w:rPr>
          <w:rFonts w:cstheme="minorHAnsi"/>
          <w:i/>
        </w:rPr>
        <w:t>Genealogical Fictions</w:t>
      </w:r>
      <w:r w:rsidRPr="00105DE8">
        <w:rPr>
          <w:rFonts w:cstheme="minorHAnsi"/>
        </w:rPr>
        <w:t>, p. 46-47</w:t>
      </w:r>
    </w:p>
  </w:footnote>
  <w:footnote w:id="55">
    <w:p w14:paraId="0B8545BF" w14:textId="77777777" w:rsidR="00F37B61" w:rsidRDefault="00F37B61" w:rsidP="00105DE8">
      <w:pPr>
        <w:pStyle w:val="FootnoteText"/>
      </w:pPr>
      <w:r w:rsidRPr="00105DE8">
        <w:rPr>
          <w:rStyle w:val="FootnoteReference"/>
          <w:rFonts w:cstheme="minorHAnsi"/>
        </w:rPr>
        <w:footnoteRef/>
      </w:r>
      <w:r w:rsidRPr="00105DE8">
        <w:rPr>
          <w:rFonts w:cstheme="minorHAnsi"/>
        </w:rPr>
        <w:t xml:space="preserve"> Martinez, </w:t>
      </w:r>
      <w:r w:rsidRPr="00105DE8">
        <w:rPr>
          <w:rFonts w:cstheme="minorHAnsi"/>
          <w:i/>
        </w:rPr>
        <w:t>Genealogical Fictions</w:t>
      </w:r>
      <w:r w:rsidRPr="00105DE8">
        <w:rPr>
          <w:rFonts w:cstheme="minorHAnsi"/>
        </w:rPr>
        <w:t>, p. 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42375"/>
    <w:multiLevelType w:val="hybridMultilevel"/>
    <w:tmpl w:val="0148A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E1"/>
    <w:rsid w:val="000026A8"/>
    <w:rsid w:val="00002C97"/>
    <w:rsid w:val="000049A2"/>
    <w:rsid w:val="00010197"/>
    <w:rsid w:val="00010279"/>
    <w:rsid w:val="00027790"/>
    <w:rsid w:val="0003234D"/>
    <w:rsid w:val="00032F74"/>
    <w:rsid w:val="00034CD1"/>
    <w:rsid w:val="00037A68"/>
    <w:rsid w:val="000401DE"/>
    <w:rsid w:val="00040513"/>
    <w:rsid w:val="00043977"/>
    <w:rsid w:val="000449D3"/>
    <w:rsid w:val="000505C5"/>
    <w:rsid w:val="00051B07"/>
    <w:rsid w:val="000649D5"/>
    <w:rsid w:val="0006733F"/>
    <w:rsid w:val="00067509"/>
    <w:rsid w:val="00072563"/>
    <w:rsid w:val="000740A8"/>
    <w:rsid w:val="00075F27"/>
    <w:rsid w:val="00080CC5"/>
    <w:rsid w:val="0008120F"/>
    <w:rsid w:val="00084B4B"/>
    <w:rsid w:val="000921BC"/>
    <w:rsid w:val="00097E92"/>
    <w:rsid w:val="000A308E"/>
    <w:rsid w:val="000A3419"/>
    <w:rsid w:val="000B0167"/>
    <w:rsid w:val="000B2DC4"/>
    <w:rsid w:val="000B52E3"/>
    <w:rsid w:val="000B5F8C"/>
    <w:rsid w:val="000B694F"/>
    <w:rsid w:val="000C033F"/>
    <w:rsid w:val="000C46C3"/>
    <w:rsid w:val="000C5C3B"/>
    <w:rsid w:val="000C615E"/>
    <w:rsid w:val="000C6EF5"/>
    <w:rsid w:val="000C7BEF"/>
    <w:rsid w:val="000D045D"/>
    <w:rsid w:val="000D3B59"/>
    <w:rsid w:val="000E0793"/>
    <w:rsid w:val="000E2F41"/>
    <w:rsid w:val="000E4514"/>
    <w:rsid w:val="000E47F8"/>
    <w:rsid w:val="000F048F"/>
    <w:rsid w:val="000F118A"/>
    <w:rsid w:val="000F2B68"/>
    <w:rsid w:val="000F3A4C"/>
    <w:rsid w:val="000F5692"/>
    <w:rsid w:val="000F6E38"/>
    <w:rsid w:val="000F79FC"/>
    <w:rsid w:val="00102374"/>
    <w:rsid w:val="001039A0"/>
    <w:rsid w:val="0010564A"/>
    <w:rsid w:val="00105DE8"/>
    <w:rsid w:val="0011483E"/>
    <w:rsid w:val="0011681F"/>
    <w:rsid w:val="0012063E"/>
    <w:rsid w:val="00120D7E"/>
    <w:rsid w:val="00123252"/>
    <w:rsid w:val="0012542C"/>
    <w:rsid w:val="00125BB5"/>
    <w:rsid w:val="001260E3"/>
    <w:rsid w:val="00131003"/>
    <w:rsid w:val="00133272"/>
    <w:rsid w:val="00143444"/>
    <w:rsid w:val="00147403"/>
    <w:rsid w:val="00150EEC"/>
    <w:rsid w:val="00153E18"/>
    <w:rsid w:val="001562D9"/>
    <w:rsid w:val="001601AC"/>
    <w:rsid w:val="00162529"/>
    <w:rsid w:val="00162FAC"/>
    <w:rsid w:val="00165229"/>
    <w:rsid w:val="00177360"/>
    <w:rsid w:val="00177DEB"/>
    <w:rsid w:val="00187BA7"/>
    <w:rsid w:val="00191F72"/>
    <w:rsid w:val="001921D0"/>
    <w:rsid w:val="00193496"/>
    <w:rsid w:val="00195406"/>
    <w:rsid w:val="001A2459"/>
    <w:rsid w:val="001A3847"/>
    <w:rsid w:val="001A6063"/>
    <w:rsid w:val="001A7A06"/>
    <w:rsid w:val="001B1461"/>
    <w:rsid w:val="001B4022"/>
    <w:rsid w:val="001B51FF"/>
    <w:rsid w:val="001B5958"/>
    <w:rsid w:val="001C19EA"/>
    <w:rsid w:val="001C2C66"/>
    <w:rsid w:val="001C44F8"/>
    <w:rsid w:val="001C6E0C"/>
    <w:rsid w:val="001C7DFE"/>
    <w:rsid w:val="001D00F9"/>
    <w:rsid w:val="001D3912"/>
    <w:rsid w:val="001E2906"/>
    <w:rsid w:val="00200FE0"/>
    <w:rsid w:val="00202360"/>
    <w:rsid w:val="00202C1E"/>
    <w:rsid w:val="00206F9D"/>
    <w:rsid w:val="00210854"/>
    <w:rsid w:val="00212EC1"/>
    <w:rsid w:val="00213F37"/>
    <w:rsid w:val="002216E8"/>
    <w:rsid w:val="00224B1D"/>
    <w:rsid w:val="0022747E"/>
    <w:rsid w:val="00230A9B"/>
    <w:rsid w:val="00230C5A"/>
    <w:rsid w:val="00241B7A"/>
    <w:rsid w:val="00245DCD"/>
    <w:rsid w:val="00246F24"/>
    <w:rsid w:val="00247F79"/>
    <w:rsid w:val="002511E1"/>
    <w:rsid w:val="002516E1"/>
    <w:rsid w:val="00254046"/>
    <w:rsid w:val="00254FE7"/>
    <w:rsid w:val="0026241C"/>
    <w:rsid w:val="00264436"/>
    <w:rsid w:val="00264DD2"/>
    <w:rsid w:val="00265BDB"/>
    <w:rsid w:val="00270219"/>
    <w:rsid w:val="00270BC5"/>
    <w:rsid w:val="00271077"/>
    <w:rsid w:val="00272552"/>
    <w:rsid w:val="00276EAF"/>
    <w:rsid w:val="00276F59"/>
    <w:rsid w:val="00282902"/>
    <w:rsid w:val="00286BA2"/>
    <w:rsid w:val="002936CE"/>
    <w:rsid w:val="00295FDE"/>
    <w:rsid w:val="002A1509"/>
    <w:rsid w:val="002A1E81"/>
    <w:rsid w:val="002A2CF7"/>
    <w:rsid w:val="002A6384"/>
    <w:rsid w:val="002A6F41"/>
    <w:rsid w:val="002A7110"/>
    <w:rsid w:val="002B1056"/>
    <w:rsid w:val="002B73D0"/>
    <w:rsid w:val="002B747E"/>
    <w:rsid w:val="002C14FE"/>
    <w:rsid w:val="002C205D"/>
    <w:rsid w:val="002C22A7"/>
    <w:rsid w:val="002C3C90"/>
    <w:rsid w:val="002C42D8"/>
    <w:rsid w:val="002C6C70"/>
    <w:rsid w:val="002D13C4"/>
    <w:rsid w:val="002D18F6"/>
    <w:rsid w:val="002D1B67"/>
    <w:rsid w:val="002D4B6B"/>
    <w:rsid w:val="002D5DBA"/>
    <w:rsid w:val="002D5E46"/>
    <w:rsid w:val="002D7454"/>
    <w:rsid w:val="002E434C"/>
    <w:rsid w:val="002E4575"/>
    <w:rsid w:val="002E58C9"/>
    <w:rsid w:val="002E6423"/>
    <w:rsid w:val="002E701E"/>
    <w:rsid w:val="002F3DA7"/>
    <w:rsid w:val="002F5789"/>
    <w:rsid w:val="00311551"/>
    <w:rsid w:val="00311A98"/>
    <w:rsid w:val="00312AA3"/>
    <w:rsid w:val="00313FFC"/>
    <w:rsid w:val="003142B7"/>
    <w:rsid w:val="00314376"/>
    <w:rsid w:val="00315065"/>
    <w:rsid w:val="00315C0F"/>
    <w:rsid w:val="00320D1D"/>
    <w:rsid w:val="00324433"/>
    <w:rsid w:val="00324BBE"/>
    <w:rsid w:val="003265F1"/>
    <w:rsid w:val="00332549"/>
    <w:rsid w:val="00332A09"/>
    <w:rsid w:val="003362E6"/>
    <w:rsid w:val="003373AF"/>
    <w:rsid w:val="00342EBA"/>
    <w:rsid w:val="00354786"/>
    <w:rsid w:val="003547C3"/>
    <w:rsid w:val="00354D01"/>
    <w:rsid w:val="00355276"/>
    <w:rsid w:val="0035726D"/>
    <w:rsid w:val="0036127D"/>
    <w:rsid w:val="00364A59"/>
    <w:rsid w:val="0037631A"/>
    <w:rsid w:val="003769FB"/>
    <w:rsid w:val="00376BE9"/>
    <w:rsid w:val="003810CB"/>
    <w:rsid w:val="003827F6"/>
    <w:rsid w:val="003858D9"/>
    <w:rsid w:val="003869B0"/>
    <w:rsid w:val="0039091B"/>
    <w:rsid w:val="00396F75"/>
    <w:rsid w:val="003A05E4"/>
    <w:rsid w:val="003A2B79"/>
    <w:rsid w:val="003A349D"/>
    <w:rsid w:val="003A53F2"/>
    <w:rsid w:val="003A7EB7"/>
    <w:rsid w:val="003B170B"/>
    <w:rsid w:val="003B2837"/>
    <w:rsid w:val="003B458A"/>
    <w:rsid w:val="003B5138"/>
    <w:rsid w:val="003D1441"/>
    <w:rsid w:val="003D1EC8"/>
    <w:rsid w:val="003D300A"/>
    <w:rsid w:val="003D3E82"/>
    <w:rsid w:val="003D681B"/>
    <w:rsid w:val="003E162B"/>
    <w:rsid w:val="003E21BB"/>
    <w:rsid w:val="003E58C1"/>
    <w:rsid w:val="003E5984"/>
    <w:rsid w:val="003E5A0D"/>
    <w:rsid w:val="003E67E6"/>
    <w:rsid w:val="003F5868"/>
    <w:rsid w:val="003F6C43"/>
    <w:rsid w:val="003F7057"/>
    <w:rsid w:val="003F7DEA"/>
    <w:rsid w:val="004006D0"/>
    <w:rsid w:val="004036FF"/>
    <w:rsid w:val="00404449"/>
    <w:rsid w:val="00404CDB"/>
    <w:rsid w:val="00406BE6"/>
    <w:rsid w:val="00407FED"/>
    <w:rsid w:val="00410432"/>
    <w:rsid w:val="0041271E"/>
    <w:rsid w:val="00421CDE"/>
    <w:rsid w:val="00424C98"/>
    <w:rsid w:val="00425AE9"/>
    <w:rsid w:val="00426E01"/>
    <w:rsid w:val="00427EAF"/>
    <w:rsid w:val="0043053C"/>
    <w:rsid w:val="00430A27"/>
    <w:rsid w:val="00430DB7"/>
    <w:rsid w:val="00433012"/>
    <w:rsid w:val="004359EE"/>
    <w:rsid w:val="0043731A"/>
    <w:rsid w:val="0043752B"/>
    <w:rsid w:val="004409E7"/>
    <w:rsid w:val="00441BA9"/>
    <w:rsid w:val="0044219D"/>
    <w:rsid w:val="00444CD4"/>
    <w:rsid w:val="004454F2"/>
    <w:rsid w:val="0044689A"/>
    <w:rsid w:val="00447E72"/>
    <w:rsid w:val="004536B0"/>
    <w:rsid w:val="0045470C"/>
    <w:rsid w:val="00455112"/>
    <w:rsid w:val="004571C0"/>
    <w:rsid w:val="004767B9"/>
    <w:rsid w:val="004820E6"/>
    <w:rsid w:val="00484A94"/>
    <w:rsid w:val="00485470"/>
    <w:rsid w:val="0048630F"/>
    <w:rsid w:val="00487858"/>
    <w:rsid w:val="00491EEF"/>
    <w:rsid w:val="00492772"/>
    <w:rsid w:val="004934B3"/>
    <w:rsid w:val="004A300C"/>
    <w:rsid w:val="004A428A"/>
    <w:rsid w:val="004B051C"/>
    <w:rsid w:val="004B0D95"/>
    <w:rsid w:val="004B1A0A"/>
    <w:rsid w:val="004B69D6"/>
    <w:rsid w:val="004B6B52"/>
    <w:rsid w:val="004C261C"/>
    <w:rsid w:val="004C2AB9"/>
    <w:rsid w:val="004C3A7B"/>
    <w:rsid w:val="004C5082"/>
    <w:rsid w:val="004D1D07"/>
    <w:rsid w:val="004D44FB"/>
    <w:rsid w:val="004D6661"/>
    <w:rsid w:val="004D6F09"/>
    <w:rsid w:val="004D7751"/>
    <w:rsid w:val="004E1382"/>
    <w:rsid w:val="004E1D67"/>
    <w:rsid w:val="004E30DA"/>
    <w:rsid w:val="004E3BA2"/>
    <w:rsid w:val="004E4BDA"/>
    <w:rsid w:val="004E6FA5"/>
    <w:rsid w:val="004F10FB"/>
    <w:rsid w:val="004F4779"/>
    <w:rsid w:val="004F6D37"/>
    <w:rsid w:val="005018C8"/>
    <w:rsid w:val="00502AA7"/>
    <w:rsid w:val="005030C1"/>
    <w:rsid w:val="0050315C"/>
    <w:rsid w:val="005070B1"/>
    <w:rsid w:val="005125BA"/>
    <w:rsid w:val="00513BB1"/>
    <w:rsid w:val="005144FB"/>
    <w:rsid w:val="00514869"/>
    <w:rsid w:val="00516898"/>
    <w:rsid w:val="005171AF"/>
    <w:rsid w:val="005202D4"/>
    <w:rsid w:val="00520D46"/>
    <w:rsid w:val="00523003"/>
    <w:rsid w:val="00523BEE"/>
    <w:rsid w:val="0052524A"/>
    <w:rsid w:val="005255E5"/>
    <w:rsid w:val="005265D2"/>
    <w:rsid w:val="005325A0"/>
    <w:rsid w:val="005332EE"/>
    <w:rsid w:val="005338F5"/>
    <w:rsid w:val="00534DE2"/>
    <w:rsid w:val="00537489"/>
    <w:rsid w:val="005409D9"/>
    <w:rsid w:val="00540F4A"/>
    <w:rsid w:val="005601CA"/>
    <w:rsid w:val="00562A99"/>
    <w:rsid w:val="00572668"/>
    <w:rsid w:val="0057574A"/>
    <w:rsid w:val="005814C6"/>
    <w:rsid w:val="005818A9"/>
    <w:rsid w:val="00582718"/>
    <w:rsid w:val="00586F87"/>
    <w:rsid w:val="005870E0"/>
    <w:rsid w:val="00587750"/>
    <w:rsid w:val="00595CF2"/>
    <w:rsid w:val="00595F85"/>
    <w:rsid w:val="005A14EA"/>
    <w:rsid w:val="005A404E"/>
    <w:rsid w:val="005A5068"/>
    <w:rsid w:val="005A79D4"/>
    <w:rsid w:val="005B0311"/>
    <w:rsid w:val="005B0AE6"/>
    <w:rsid w:val="005B309A"/>
    <w:rsid w:val="005B4DF3"/>
    <w:rsid w:val="005D13F4"/>
    <w:rsid w:val="005D1505"/>
    <w:rsid w:val="005D1A95"/>
    <w:rsid w:val="005D21B7"/>
    <w:rsid w:val="005D484D"/>
    <w:rsid w:val="005D58E8"/>
    <w:rsid w:val="005D6100"/>
    <w:rsid w:val="005D7195"/>
    <w:rsid w:val="005E00E3"/>
    <w:rsid w:val="005E0BFF"/>
    <w:rsid w:val="005E294B"/>
    <w:rsid w:val="005E3EE9"/>
    <w:rsid w:val="005E47A8"/>
    <w:rsid w:val="005E6B1A"/>
    <w:rsid w:val="005E6C24"/>
    <w:rsid w:val="005F1A55"/>
    <w:rsid w:val="005F3762"/>
    <w:rsid w:val="005F5DF3"/>
    <w:rsid w:val="005F65D3"/>
    <w:rsid w:val="005F7274"/>
    <w:rsid w:val="00600D26"/>
    <w:rsid w:val="00602D69"/>
    <w:rsid w:val="006030AB"/>
    <w:rsid w:val="00606547"/>
    <w:rsid w:val="006102BC"/>
    <w:rsid w:val="00612403"/>
    <w:rsid w:val="00616C68"/>
    <w:rsid w:val="00617080"/>
    <w:rsid w:val="0062242A"/>
    <w:rsid w:val="00625289"/>
    <w:rsid w:val="00630A3A"/>
    <w:rsid w:val="00630B71"/>
    <w:rsid w:val="006328C0"/>
    <w:rsid w:val="006333D5"/>
    <w:rsid w:val="00633934"/>
    <w:rsid w:val="0063546C"/>
    <w:rsid w:val="0063585B"/>
    <w:rsid w:val="0063743A"/>
    <w:rsid w:val="00640894"/>
    <w:rsid w:val="00642417"/>
    <w:rsid w:val="00644487"/>
    <w:rsid w:val="00645124"/>
    <w:rsid w:val="00646CD3"/>
    <w:rsid w:val="006474CE"/>
    <w:rsid w:val="00650685"/>
    <w:rsid w:val="006525B4"/>
    <w:rsid w:val="00657A98"/>
    <w:rsid w:val="00660A18"/>
    <w:rsid w:val="00661574"/>
    <w:rsid w:val="006625BD"/>
    <w:rsid w:val="00664BD2"/>
    <w:rsid w:val="00666FB7"/>
    <w:rsid w:val="00671649"/>
    <w:rsid w:val="00671CF1"/>
    <w:rsid w:val="00674EEB"/>
    <w:rsid w:val="00677FDF"/>
    <w:rsid w:val="006811C2"/>
    <w:rsid w:val="00683F9E"/>
    <w:rsid w:val="00686832"/>
    <w:rsid w:val="006902D5"/>
    <w:rsid w:val="0069239B"/>
    <w:rsid w:val="00696CD3"/>
    <w:rsid w:val="00697782"/>
    <w:rsid w:val="006A1E76"/>
    <w:rsid w:val="006A23C7"/>
    <w:rsid w:val="006A538D"/>
    <w:rsid w:val="006B14F2"/>
    <w:rsid w:val="006B6089"/>
    <w:rsid w:val="006C0535"/>
    <w:rsid w:val="006C1DB5"/>
    <w:rsid w:val="006C3A45"/>
    <w:rsid w:val="006C4D69"/>
    <w:rsid w:val="006C7514"/>
    <w:rsid w:val="006D1A08"/>
    <w:rsid w:val="006D2772"/>
    <w:rsid w:val="006D4793"/>
    <w:rsid w:val="006D48C5"/>
    <w:rsid w:val="006D6E27"/>
    <w:rsid w:val="006D70F1"/>
    <w:rsid w:val="006E0354"/>
    <w:rsid w:val="006E1CB8"/>
    <w:rsid w:val="006E2B13"/>
    <w:rsid w:val="006E5E60"/>
    <w:rsid w:val="006F01A0"/>
    <w:rsid w:val="006F140F"/>
    <w:rsid w:val="006F693C"/>
    <w:rsid w:val="0070343F"/>
    <w:rsid w:val="00704B23"/>
    <w:rsid w:val="007146C2"/>
    <w:rsid w:val="00715ABF"/>
    <w:rsid w:val="0071708F"/>
    <w:rsid w:val="007246B3"/>
    <w:rsid w:val="007248B9"/>
    <w:rsid w:val="0072543D"/>
    <w:rsid w:val="00730A42"/>
    <w:rsid w:val="007333F3"/>
    <w:rsid w:val="0073475D"/>
    <w:rsid w:val="007374F4"/>
    <w:rsid w:val="00737946"/>
    <w:rsid w:val="00737FE4"/>
    <w:rsid w:val="00744170"/>
    <w:rsid w:val="0074550B"/>
    <w:rsid w:val="007511B2"/>
    <w:rsid w:val="00755701"/>
    <w:rsid w:val="007559A2"/>
    <w:rsid w:val="00757818"/>
    <w:rsid w:val="007628C9"/>
    <w:rsid w:val="00762D5C"/>
    <w:rsid w:val="00763067"/>
    <w:rsid w:val="00772746"/>
    <w:rsid w:val="007806E1"/>
    <w:rsid w:val="00780E3F"/>
    <w:rsid w:val="00781533"/>
    <w:rsid w:val="00781A27"/>
    <w:rsid w:val="00782D66"/>
    <w:rsid w:val="0078685F"/>
    <w:rsid w:val="007902E7"/>
    <w:rsid w:val="007906B4"/>
    <w:rsid w:val="00794F95"/>
    <w:rsid w:val="00795888"/>
    <w:rsid w:val="00796394"/>
    <w:rsid w:val="0079721B"/>
    <w:rsid w:val="00797D93"/>
    <w:rsid w:val="007A1A89"/>
    <w:rsid w:val="007A2AB0"/>
    <w:rsid w:val="007A68AA"/>
    <w:rsid w:val="007B0EB6"/>
    <w:rsid w:val="007B0F4A"/>
    <w:rsid w:val="007B255B"/>
    <w:rsid w:val="007B5AC2"/>
    <w:rsid w:val="007B7E63"/>
    <w:rsid w:val="007C0285"/>
    <w:rsid w:val="007C1A81"/>
    <w:rsid w:val="007C2812"/>
    <w:rsid w:val="007C35A8"/>
    <w:rsid w:val="007C4CC3"/>
    <w:rsid w:val="007C5D79"/>
    <w:rsid w:val="007C6800"/>
    <w:rsid w:val="007C6CB8"/>
    <w:rsid w:val="007D3B40"/>
    <w:rsid w:val="007D3B44"/>
    <w:rsid w:val="007D4944"/>
    <w:rsid w:val="007D65E4"/>
    <w:rsid w:val="007E299F"/>
    <w:rsid w:val="007E436E"/>
    <w:rsid w:val="007E5868"/>
    <w:rsid w:val="007E6CF0"/>
    <w:rsid w:val="007F2DB4"/>
    <w:rsid w:val="007F3C0F"/>
    <w:rsid w:val="007F4350"/>
    <w:rsid w:val="007F781A"/>
    <w:rsid w:val="00802E36"/>
    <w:rsid w:val="00802E9E"/>
    <w:rsid w:val="00803E7C"/>
    <w:rsid w:val="00804CA2"/>
    <w:rsid w:val="00812803"/>
    <w:rsid w:val="00814A58"/>
    <w:rsid w:val="00814AC4"/>
    <w:rsid w:val="00817BBF"/>
    <w:rsid w:val="00820BFA"/>
    <w:rsid w:val="00826CE0"/>
    <w:rsid w:val="00827807"/>
    <w:rsid w:val="00834308"/>
    <w:rsid w:val="00835613"/>
    <w:rsid w:val="00841E44"/>
    <w:rsid w:val="008433DA"/>
    <w:rsid w:val="0084343A"/>
    <w:rsid w:val="00844715"/>
    <w:rsid w:val="00844A5E"/>
    <w:rsid w:val="00845B8B"/>
    <w:rsid w:val="00850DFB"/>
    <w:rsid w:val="0085181C"/>
    <w:rsid w:val="008559EB"/>
    <w:rsid w:val="0087019B"/>
    <w:rsid w:val="008707AD"/>
    <w:rsid w:val="00870895"/>
    <w:rsid w:val="00871EAD"/>
    <w:rsid w:val="00874BBF"/>
    <w:rsid w:val="008773BD"/>
    <w:rsid w:val="008843AC"/>
    <w:rsid w:val="008908EA"/>
    <w:rsid w:val="00896067"/>
    <w:rsid w:val="008965B0"/>
    <w:rsid w:val="008A18F4"/>
    <w:rsid w:val="008A5290"/>
    <w:rsid w:val="008A53C2"/>
    <w:rsid w:val="008A58C0"/>
    <w:rsid w:val="008A6A66"/>
    <w:rsid w:val="008B0557"/>
    <w:rsid w:val="008C0344"/>
    <w:rsid w:val="008C1ABD"/>
    <w:rsid w:val="008C4EE2"/>
    <w:rsid w:val="008C66B5"/>
    <w:rsid w:val="008D07CD"/>
    <w:rsid w:val="008D225A"/>
    <w:rsid w:val="008D5068"/>
    <w:rsid w:val="008D6D97"/>
    <w:rsid w:val="008E1FF9"/>
    <w:rsid w:val="008F00EB"/>
    <w:rsid w:val="008F4002"/>
    <w:rsid w:val="00906AEB"/>
    <w:rsid w:val="00907891"/>
    <w:rsid w:val="00911637"/>
    <w:rsid w:val="00915DCD"/>
    <w:rsid w:val="00920605"/>
    <w:rsid w:val="009216B9"/>
    <w:rsid w:val="00934180"/>
    <w:rsid w:val="00935540"/>
    <w:rsid w:val="009407EA"/>
    <w:rsid w:val="00941DA2"/>
    <w:rsid w:val="0094219A"/>
    <w:rsid w:val="0094675A"/>
    <w:rsid w:val="0095540F"/>
    <w:rsid w:val="00960BE4"/>
    <w:rsid w:val="009611A7"/>
    <w:rsid w:val="00963562"/>
    <w:rsid w:val="00964373"/>
    <w:rsid w:val="00966FDF"/>
    <w:rsid w:val="00967682"/>
    <w:rsid w:val="0097404D"/>
    <w:rsid w:val="00975C18"/>
    <w:rsid w:val="00976074"/>
    <w:rsid w:val="0097609D"/>
    <w:rsid w:val="00976A82"/>
    <w:rsid w:val="00980005"/>
    <w:rsid w:val="00980290"/>
    <w:rsid w:val="009814F5"/>
    <w:rsid w:val="0098228F"/>
    <w:rsid w:val="009917E5"/>
    <w:rsid w:val="009A1DD5"/>
    <w:rsid w:val="009A3DC0"/>
    <w:rsid w:val="009A3FE1"/>
    <w:rsid w:val="009A5612"/>
    <w:rsid w:val="009B2222"/>
    <w:rsid w:val="009B3C98"/>
    <w:rsid w:val="009B7721"/>
    <w:rsid w:val="009B7C5D"/>
    <w:rsid w:val="009C1B11"/>
    <w:rsid w:val="009C30EF"/>
    <w:rsid w:val="009D6C9C"/>
    <w:rsid w:val="009D7279"/>
    <w:rsid w:val="009D7928"/>
    <w:rsid w:val="009E17AB"/>
    <w:rsid w:val="009E2832"/>
    <w:rsid w:val="009E4D22"/>
    <w:rsid w:val="009E6E91"/>
    <w:rsid w:val="009E6FB0"/>
    <w:rsid w:val="009F12E7"/>
    <w:rsid w:val="009F6955"/>
    <w:rsid w:val="009F72B2"/>
    <w:rsid w:val="009F7603"/>
    <w:rsid w:val="00A00FE4"/>
    <w:rsid w:val="00A04872"/>
    <w:rsid w:val="00A06736"/>
    <w:rsid w:val="00A0679E"/>
    <w:rsid w:val="00A07392"/>
    <w:rsid w:val="00A105DB"/>
    <w:rsid w:val="00A13894"/>
    <w:rsid w:val="00A1439B"/>
    <w:rsid w:val="00A158BD"/>
    <w:rsid w:val="00A16A44"/>
    <w:rsid w:val="00A21E20"/>
    <w:rsid w:val="00A23800"/>
    <w:rsid w:val="00A2471A"/>
    <w:rsid w:val="00A27705"/>
    <w:rsid w:val="00A278AF"/>
    <w:rsid w:val="00A27FE0"/>
    <w:rsid w:val="00A30225"/>
    <w:rsid w:val="00A31680"/>
    <w:rsid w:val="00A332A2"/>
    <w:rsid w:val="00A42469"/>
    <w:rsid w:val="00A43227"/>
    <w:rsid w:val="00A437D1"/>
    <w:rsid w:val="00A438BF"/>
    <w:rsid w:val="00A457A1"/>
    <w:rsid w:val="00A45CFC"/>
    <w:rsid w:val="00A46EEA"/>
    <w:rsid w:val="00A508EA"/>
    <w:rsid w:val="00A549A8"/>
    <w:rsid w:val="00A57067"/>
    <w:rsid w:val="00A577DC"/>
    <w:rsid w:val="00A604CE"/>
    <w:rsid w:val="00A61B3A"/>
    <w:rsid w:val="00A678AC"/>
    <w:rsid w:val="00A67936"/>
    <w:rsid w:val="00A67BE7"/>
    <w:rsid w:val="00A71A60"/>
    <w:rsid w:val="00A73DF2"/>
    <w:rsid w:val="00A74391"/>
    <w:rsid w:val="00A745F8"/>
    <w:rsid w:val="00A7465E"/>
    <w:rsid w:val="00A775EB"/>
    <w:rsid w:val="00A824FA"/>
    <w:rsid w:val="00A82D9D"/>
    <w:rsid w:val="00A83763"/>
    <w:rsid w:val="00A84959"/>
    <w:rsid w:val="00A8501B"/>
    <w:rsid w:val="00A850A7"/>
    <w:rsid w:val="00A85781"/>
    <w:rsid w:val="00A9371B"/>
    <w:rsid w:val="00AA0281"/>
    <w:rsid w:val="00AA2022"/>
    <w:rsid w:val="00AA608F"/>
    <w:rsid w:val="00AA6C86"/>
    <w:rsid w:val="00AB1788"/>
    <w:rsid w:val="00AB64D3"/>
    <w:rsid w:val="00AC16B9"/>
    <w:rsid w:val="00AD0B5D"/>
    <w:rsid w:val="00AD1A22"/>
    <w:rsid w:val="00AD26BE"/>
    <w:rsid w:val="00AD3139"/>
    <w:rsid w:val="00AD37EE"/>
    <w:rsid w:val="00AD539C"/>
    <w:rsid w:val="00AE2E31"/>
    <w:rsid w:val="00AE6E82"/>
    <w:rsid w:val="00AF0FBB"/>
    <w:rsid w:val="00AF3CFA"/>
    <w:rsid w:val="00AF4FF5"/>
    <w:rsid w:val="00AF539B"/>
    <w:rsid w:val="00AF6CC2"/>
    <w:rsid w:val="00B01B33"/>
    <w:rsid w:val="00B01DC7"/>
    <w:rsid w:val="00B10965"/>
    <w:rsid w:val="00B11E76"/>
    <w:rsid w:val="00B12884"/>
    <w:rsid w:val="00B17CB8"/>
    <w:rsid w:val="00B21479"/>
    <w:rsid w:val="00B3016D"/>
    <w:rsid w:val="00B361D8"/>
    <w:rsid w:val="00B40433"/>
    <w:rsid w:val="00B40D25"/>
    <w:rsid w:val="00B43912"/>
    <w:rsid w:val="00B45131"/>
    <w:rsid w:val="00B51271"/>
    <w:rsid w:val="00B574AD"/>
    <w:rsid w:val="00B60C08"/>
    <w:rsid w:val="00B61272"/>
    <w:rsid w:val="00B61C1E"/>
    <w:rsid w:val="00B62538"/>
    <w:rsid w:val="00B626B2"/>
    <w:rsid w:val="00B63E36"/>
    <w:rsid w:val="00B64930"/>
    <w:rsid w:val="00B675C0"/>
    <w:rsid w:val="00B74FA3"/>
    <w:rsid w:val="00B8155D"/>
    <w:rsid w:val="00B830FD"/>
    <w:rsid w:val="00B835DB"/>
    <w:rsid w:val="00B83C20"/>
    <w:rsid w:val="00B91FF3"/>
    <w:rsid w:val="00B925CC"/>
    <w:rsid w:val="00B932A1"/>
    <w:rsid w:val="00B960A8"/>
    <w:rsid w:val="00B97243"/>
    <w:rsid w:val="00BA0483"/>
    <w:rsid w:val="00BA075E"/>
    <w:rsid w:val="00BA39F3"/>
    <w:rsid w:val="00BA5536"/>
    <w:rsid w:val="00BA6268"/>
    <w:rsid w:val="00BA78AE"/>
    <w:rsid w:val="00BB0153"/>
    <w:rsid w:val="00BB15CF"/>
    <w:rsid w:val="00BB53B5"/>
    <w:rsid w:val="00BB7402"/>
    <w:rsid w:val="00BC0157"/>
    <w:rsid w:val="00BC079D"/>
    <w:rsid w:val="00BC4AC1"/>
    <w:rsid w:val="00BC54BC"/>
    <w:rsid w:val="00BC7E11"/>
    <w:rsid w:val="00BD19E5"/>
    <w:rsid w:val="00BD2B11"/>
    <w:rsid w:val="00BD36B7"/>
    <w:rsid w:val="00BD457A"/>
    <w:rsid w:val="00BE1597"/>
    <w:rsid w:val="00BE2514"/>
    <w:rsid w:val="00BE4C2D"/>
    <w:rsid w:val="00BE624F"/>
    <w:rsid w:val="00BE7C0D"/>
    <w:rsid w:val="00BE7E12"/>
    <w:rsid w:val="00BF3801"/>
    <w:rsid w:val="00BF3939"/>
    <w:rsid w:val="00BF4F71"/>
    <w:rsid w:val="00BF72C0"/>
    <w:rsid w:val="00C02469"/>
    <w:rsid w:val="00C026CC"/>
    <w:rsid w:val="00C03781"/>
    <w:rsid w:val="00C040A3"/>
    <w:rsid w:val="00C04B1D"/>
    <w:rsid w:val="00C07224"/>
    <w:rsid w:val="00C16CC0"/>
    <w:rsid w:val="00C21397"/>
    <w:rsid w:val="00C21841"/>
    <w:rsid w:val="00C26C13"/>
    <w:rsid w:val="00C31358"/>
    <w:rsid w:val="00C31430"/>
    <w:rsid w:val="00C31D65"/>
    <w:rsid w:val="00C34C2F"/>
    <w:rsid w:val="00C35BE3"/>
    <w:rsid w:val="00C3651D"/>
    <w:rsid w:val="00C40081"/>
    <w:rsid w:val="00C425E3"/>
    <w:rsid w:val="00C438A4"/>
    <w:rsid w:val="00C43AC9"/>
    <w:rsid w:val="00C4428F"/>
    <w:rsid w:val="00C476C6"/>
    <w:rsid w:val="00C509C5"/>
    <w:rsid w:val="00C515DC"/>
    <w:rsid w:val="00C600BB"/>
    <w:rsid w:val="00C637FB"/>
    <w:rsid w:val="00C64940"/>
    <w:rsid w:val="00C65276"/>
    <w:rsid w:val="00C65CC5"/>
    <w:rsid w:val="00C72825"/>
    <w:rsid w:val="00C80CE7"/>
    <w:rsid w:val="00C856D0"/>
    <w:rsid w:val="00C872EB"/>
    <w:rsid w:val="00C90126"/>
    <w:rsid w:val="00C903CD"/>
    <w:rsid w:val="00C90E8F"/>
    <w:rsid w:val="00C90F3B"/>
    <w:rsid w:val="00C91A47"/>
    <w:rsid w:val="00C94C78"/>
    <w:rsid w:val="00C9628F"/>
    <w:rsid w:val="00C962BC"/>
    <w:rsid w:val="00CA04FA"/>
    <w:rsid w:val="00CA367D"/>
    <w:rsid w:val="00CB0018"/>
    <w:rsid w:val="00CB19E9"/>
    <w:rsid w:val="00CB3EDF"/>
    <w:rsid w:val="00CB644B"/>
    <w:rsid w:val="00CB67F1"/>
    <w:rsid w:val="00CC56D0"/>
    <w:rsid w:val="00CD155A"/>
    <w:rsid w:val="00CD17DC"/>
    <w:rsid w:val="00CD2E91"/>
    <w:rsid w:val="00CD388D"/>
    <w:rsid w:val="00CD6000"/>
    <w:rsid w:val="00CE2D64"/>
    <w:rsid w:val="00CE6088"/>
    <w:rsid w:val="00CE735C"/>
    <w:rsid w:val="00CF1E68"/>
    <w:rsid w:val="00CF5B0F"/>
    <w:rsid w:val="00D065DC"/>
    <w:rsid w:val="00D068A4"/>
    <w:rsid w:val="00D102C0"/>
    <w:rsid w:val="00D14451"/>
    <w:rsid w:val="00D14714"/>
    <w:rsid w:val="00D20BCD"/>
    <w:rsid w:val="00D260C9"/>
    <w:rsid w:val="00D2690B"/>
    <w:rsid w:val="00D301C4"/>
    <w:rsid w:val="00D34ED4"/>
    <w:rsid w:val="00D407D7"/>
    <w:rsid w:val="00D440D6"/>
    <w:rsid w:val="00D56D8E"/>
    <w:rsid w:val="00D6251F"/>
    <w:rsid w:val="00D62843"/>
    <w:rsid w:val="00D63719"/>
    <w:rsid w:val="00D72935"/>
    <w:rsid w:val="00D72DB1"/>
    <w:rsid w:val="00D85F13"/>
    <w:rsid w:val="00D878EE"/>
    <w:rsid w:val="00D87B37"/>
    <w:rsid w:val="00D900D6"/>
    <w:rsid w:val="00D90626"/>
    <w:rsid w:val="00D90BB6"/>
    <w:rsid w:val="00D91009"/>
    <w:rsid w:val="00D91E92"/>
    <w:rsid w:val="00D92F50"/>
    <w:rsid w:val="00D9402E"/>
    <w:rsid w:val="00DA043B"/>
    <w:rsid w:val="00DA3D99"/>
    <w:rsid w:val="00DA68C2"/>
    <w:rsid w:val="00DA73BA"/>
    <w:rsid w:val="00DA7C3D"/>
    <w:rsid w:val="00DB27BF"/>
    <w:rsid w:val="00DB2ABF"/>
    <w:rsid w:val="00DB51C1"/>
    <w:rsid w:val="00DC45B7"/>
    <w:rsid w:val="00DC681A"/>
    <w:rsid w:val="00DD1AB3"/>
    <w:rsid w:val="00DD5EBE"/>
    <w:rsid w:val="00DE153E"/>
    <w:rsid w:val="00DE265E"/>
    <w:rsid w:val="00DE2EA6"/>
    <w:rsid w:val="00DE4631"/>
    <w:rsid w:val="00DE7F6B"/>
    <w:rsid w:val="00E0109D"/>
    <w:rsid w:val="00E02450"/>
    <w:rsid w:val="00E024BB"/>
    <w:rsid w:val="00E029FF"/>
    <w:rsid w:val="00E03EC6"/>
    <w:rsid w:val="00E0525B"/>
    <w:rsid w:val="00E0623E"/>
    <w:rsid w:val="00E07E78"/>
    <w:rsid w:val="00E12374"/>
    <w:rsid w:val="00E12B1B"/>
    <w:rsid w:val="00E1395F"/>
    <w:rsid w:val="00E13DCE"/>
    <w:rsid w:val="00E1693F"/>
    <w:rsid w:val="00E21B42"/>
    <w:rsid w:val="00E22E30"/>
    <w:rsid w:val="00E22FDD"/>
    <w:rsid w:val="00E26150"/>
    <w:rsid w:val="00E32CED"/>
    <w:rsid w:val="00E371F8"/>
    <w:rsid w:val="00E409D8"/>
    <w:rsid w:val="00E43F2D"/>
    <w:rsid w:val="00E44207"/>
    <w:rsid w:val="00E56695"/>
    <w:rsid w:val="00E57B63"/>
    <w:rsid w:val="00E619BD"/>
    <w:rsid w:val="00E640B6"/>
    <w:rsid w:val="00E657EC"/>
    <w:rsid w:val="00E66DF7"/>
    <w:rsid w:val="00E67EDA"/>
    <w:rsid w:val="00E700D3"/>
    <w:rsid w:val="00E71F4A"/>
    <w:rsid w:val="00E73796"/>
    <w:rsid w:val="00E76B07"/>
    <w:rsid w:val="00E80607"/>
    <w:rsid w:val="00E831F1"/>
    <w:rsid w:val="00E839F0"/>
    <w:rsid w:val="00E83F5B"/>
    <w:rsid w:val="00E95040"/>
    <w:rsid w:val="00EA3769"/>
    <w:rsid w:val="00EA4F84"/>
    <w:rsid w:val="00EA5527"/>
    <w:rsid w:val="00EA5E58"/>
    <w:rsid w:val="00EA6212"/>
    <w:rsid w:val="00EA78C5"/>
    <w:rsid w:val="00EB0261"/>
    <w:rsid w:val="00EB1507"/>
    <w:rsid w:val="00EB1D43"/>
    <w:rsid w:val="00EB38AB"/>
    <w:rsid w:val="00EB3BB8"/>
    <w:rsid w:val="00EB5214"/>
    <w:rsid w:val="00EB54BE"/>
    <w:rsid w:val="00EB6671"/>
    <w:rsid w:val="00EB6F4D"/>
    <w:rsid w:val="00EC0AE4"/>
    <w:rsid w:val="00EC30B1"/>
    <w:rsid w:val="00EC60DE"/>
    <w:rsid w:val="00EC7654"/>
    <w:rsid w:val="00ED0FC1"/>
    <w:rsid w:val="00ED1CF7"/>
    <w:rsid w:val="00ED4020"/>
    <w:rsid w:val="00ED4B3E"/>
    <w:rsid w:val="00ED5388"/>
    <w:rsid w:val="00ED7CC7"/>
    <w:rsid w:val="00EE1D1E"/>
    <w:rsid w:val="00EE2027"/>
    <w:rsid w:val="00EE39F6"/>
    <w:rsid w:val="00EE5B6D"/>
    <w:rsid w:val="00EF782A"/>
    <w:rsid w:val="00F045A3"/>
    <w:rsid w:val="00F110AD"/>
    <w:rsid w:val="00F143B7"/>
    <w:rsid w:val="00F17F73"/>
    <w:rsid w:val="00F20449"/>
    <w:rsid w:val="00F204A9"/>
    <w:rsid w:val="00F275C9"/>
    <w:rsid w:val="00F30F34"/>
    <w:rsid w:val="00F32B60"/>
    <w:rsid w:val="00F352DA"/>
    <w:rsid w:val="00F36F6C"/>
    <w:rsid w:val="00F37B61"/>
    <w:rsid w:val="00F427A8"/>
    <w:rsid w:val="00F45FEB"/>
    <w:rsid w:val="00F65944"/>
    <w:rsid w:val="00F66212"/>
    <w:rsid w:val="00F706B4"/>
    <w:rsid w:val="00F70827"/>
    <w:rsid w:val="00F70F46"/>
    <w:rsid w:val="00F711BE"/>
    <w:rsid w:val="00F75CC2"/>
    <w:rsid w:val="00F86F3F"/>
    <w:rsid w:val="00F87F32"/>
    <w:rsid w:val="00F910BB"/>
    <w:rsid w:val="00F91380"/>
    <w:rsid w:val="00F94A89"/>
    <w:rsid w:val="00F977CD"/>
    <w:rsid w:val="00F97EDD"/>
    <w:rsid w:val="00FA329D"/>
    <w:rsid w:val="00FA57C6"/>
    <w:rsid w:val="00FA6560"/>
    <w:rsid w:val="00FA76B7"/>
    <w:rsid w:val="00FB1406"/>
    <w:rsid w:val="00FB5AD6"/>
    <w:rsid w:val="00FC102D"/>
    <w:rsid w:val="00FC2FCF"/>
    <w:rsid w:val="00FD014C"/>
    <w:rsid w:val="00FD0509"/>
    <w:rsid w:val="00FD1D76"/>
    <w:rsid w:val="00FD646D"/>
    <w:rsid w:val="00FE0B03"/>
    <w:rsid w:val="00FE1BC0"/>
    <w:rsid w:val="00FE431C"/>
    <w:rsid w:val="00FE51A3"/>
    <w:rsid w:val="00FE51C4"/>
    <w:rsid w:val="00FE5D2B"/>
    <w:rsid w:val="00FF3B01"/>
    <w:rsid w:val="00FF5BA2"/>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B472"/>
  <w15:chartTrackingRefBased/>
  <w15:docId w15:val="{E5064395-F0E7-433C-B52E-7C537561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009"/>
    <w:pPr>
      <w:ind w:left="720"/>
      <w:contextualSpacing/>
    </w:pPr>
  </w:style>
  <w:style w:type="paragraph" w:styleId="FootnoteText">
    <w:name w:val="footnote text"/>
    <w:basedOn w:val="Normal"/>
    <w:link w:val="FootnoteTextChar"/>
    <w:uiPriority w:val="99"/>
    <w:semiHidden/>
    <w:unhideWhenUsed/>
    <w:rsid w:val="00A85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0A7"/>
    <w:rPr>
      <w:sz w:val="20"/>
      <w:szCs w:val="20"/>
    </w:rPr>
  </w:style>
  <w:style w:type="character" w:styleId="FootnoteReference">
    <w:name w:val="footnote reference"/>
    <w:basedOn w:val="DefaultParagraphFont"/>
    <w:uiPriority w:val="99"/>
    <w:semiHidden/>
    <w:unhideWhenUsed/>
    <w:rsid w:val="00A850A7"/>
    <w:rPr>
      <w:vertAlign w:val="superscript"/>
    </w:rPr>
  </w:style>
  <w:style w:type="character" w:styleId="CommentReference">
    <w:name w:val="annotation reference"/>
    <w:basedOn w:val="DefaultParagraphFont"/>
    <w:uiPriority w:val="99"/>
    <w:semiHidden/>
    <w:unhideWhenUsed/>
    <w:rsid w:val="0041271E"/>
    <w:rPr>
      <w:sz w:val="18"/>
      <w:szCs w:val="18"/>
    </w:rPr>
  </w:style>
  <w:style w:type="paragraph" w:styleId="CommentText">
    <w:name w:val="annotation text"/>
    <w:basedOn w:val="Normal"/>
    <w:link w:val="CommentTextChar"/>
    <w:uiPriority w:val="99"/>
    <w:semiHidden/>
    <w:unhideWhenUsed/>
    <w:rsid w:val="0041271E"/>
    <w:pPr>
      <w:spacing w:line="240" w:lineRule="auto"/>
    </w:pPr>
    <w:rPr>
      <w:sz w:val="24"/>
      <w:szCs w:val="24"/>
    </w:rPr>
  </w:style>
  <w:style w:type="character" w:customStyle="1" w:styleId="CommentTextChar">
    <w:name w:val="Comment Text Char"/>
    <w:basedOn w:val="DefaultParagraphFont"/>
    <w:link w:val="CommentText"/>
    <w:uiPriority w:val="99"/>
    <w:semiHidden/>
    <w:rsid w:val="0041271E"/>
    <w:rPr>
      <w:sz w:val="24"/>
      <w:szCs w:val="24"/>
    </w:rPr>
  </w:style>
  <w:style w:type="paragraph" w:styleId="CommentSubject">
    <w:name w:val="annotation subject"/>
    <w:basedOn w:val="CommentText"/>
    <w:next w:val="CommentText"/>
    <w:link w:val="CommentSubjectChar"/>
    <w:uiPriority w:val="99"/>
    <w:semiHidden/>
    <w:unhideWhenUsed/>
    <w:rsid w:val="0041271E"/>
    <w:rPr>
      <w:b/>
      <w:bCs/>
      <w:sz w:val="20"/>
      <w:szCs w:val="20"/>
    </w:rPr>
  </w:style>
  <w:style w:type="character" w:customStyle="1" w:styleId="CommentSubjectChar">
    <w:name w:val="Comment Subject Char"/>
    <w:basedOn w:val="CommentTextChar"/>
    <w:link w:val="CommentSubject"/>
    <w:uiPriority w:val="99"/>
    <w:semiHidden/>
    <w:rsid w:val="0041271E"/>
    <w:rPr>
      <w:b/>
      <w:bCs/>
      <w:sz w:val="20"/>
      <w:szCs w:val="20"/>
    </w:rPr>
  </w:style>
  <w:style w:type="paragraph" w:styleId="BalloonText">
    <w:name w:val="Balloon Text"/>
    <w:basedOn w:val="Normal"/>
    <w:link w:val="BalloonTextChar"/>
    <w:uiPriority w:val="99"/>
    <w:semiHidden/>
    <w:unhideWhenUsed/>
    <w:rsid w:val="004127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271E"/>
    <w:rPr>
      <w:rFonts w:ascii="Times New Roman" w:hAnsi="Times New Roman" w:cs="Times New Roman"/>
      <w:sz w:val="18"/>
      <w:szCs w:val="18"/>
    </w:rPr>
  </w:style>
  <w:style w:type="paragraph" w:styleId="Revision">
    <w:name w:val="Revision"/>
    <w:hidden/>
    <w:uiPriority w:val="99"/>
    <w:semiHidden/>
    <w:rsid w:val="00E12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E57FE6-B813-4319-A53B-21EA370E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dc:creator>
  <cp:keywords/>
  <dc:description/>
  <cp:lastModifiedBy>Gabe</cp:lastModifiedBy>
  <cp:revision>7</cp:revision>
  <dcterms:created xsi:type="dcterms:W3CDTF">2017-10-15T20:15:00Z</dcterms:created>
  <dcterms:modified xsi:type="dcterms:W3CDTF">2018-02-26T16:39:00Z</dcterms:modified>
</cp:coreProperties>
</file>