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F8A765" w14:textId="1862D7F6" w:rsidR="008E7278" w:rsidRDefault="008E7278" w:rsidP="00DE6219"/>
    <w:p w14:paraId="693A95B2" w14:textId="77777777" w:rsidR="00DE6219" w:rsidRDefault="00DE6219" w:rsidP="00DE6219"/>
    <w:p w14:paraId="078DBCDD" w14:textId="77777777" w:rsidR="00DE6219" w:rsidRDefault="00DE6219" w:rsidP="00DE6219"/>
    <w:p w14:paraId="63930CAD" w14:textId="77777777" w:rsidR="00DE6219" w:rsidRDefault="00DE6219" w:rsidP="00DE6219"/>
    <w:p w14:paraId="1B5A3100" w14:textId="77777777" w:rsidR="00DE6219" w:rsidRDefault="00DE6219" w:rsidP="00DE6219"/>
    <w:p w14:paraId="6E1692E8" w14:textId="77777777" w:rsidR="00DE6219" w:rsidRDefault="00DE6219" w:rsidP="00DE6219"/>
    <w:p w14:paraId="730EBA2D" w14:textId="77777777" w:rsidR="00DE6219" w:rsidRDefault="00DE6219" w:rsidP="00DE6219"/>
    <w:p w14:paraId="17093FC5" w14:textId="77777777" w:rsidR="00DE6219" w:rsidRDefault="00DE6219" w:rsidP="00DE6219"/>
    <w:p w14:paraId="58E01FF0" w14:textId="77777777" w:rsidR="00DE6219" w:rsidRDefault="00DE6219" w:rsidP="00DE6219"/>
    <w:p w14:paraId="29361CF2" w14:textId="77777777" w:rsidR="00DE6219" w:rsidRDefault="00DE6219" w:rsidP="00DE6219"/>
    <w:p w14:paraId="1C0132D4" w14:textId="26B10F1F" w:rsidR="00CC460A" w:rsidRDefault="007F28F7" w:rsidP="00DE6219">
      <w:pPr>
        <w:rPr>
          <w:b/>
        </w:rPr>
      </w:pPr>
      <w:r>
        <w:rPr>
          <w:b/>
        </w:rPr>
        <w:t xml:space="preserve">Lawmaker </w:t>
      </w:r>
      <w:r w:rsidR="00DE6219" w:rsidRPr="00DE6219">
        <w:rPr>
          <w:b/>
        </w:rPr>
        <w:t>Age</w:t>
      </w:r>
      <w:r w:rsidR="004350E4">
        <w:rPr>
          <w:b/>
        </w:rPr>
        <w:t>, Issue Salience,</w:t>
      </w:r>
      <w:r w:rsidR="00DE6219" w:rsidRPr="00DE6219">
        <w:rPr>
          <w:b/>
        </w:rPr>
        <w:t xml:space="preserve"> and </w:t>
      </w:r>
      <w:r>
        <w:rPr>
          <w:b/>
        </w:rPr>
        <w:t xml:space="preserve">Descriptive </w:t>
      </w:r>
      <w:r w:rsidR="00DE6219" w:rsidRPr="00DE6219">
        <w:rPr>
          <w:b/>
        </w:rPr>
        <w:t xml:space="preserve">Representation in Congress </w:t>
      </w:r>
    </w:p>
    <w:p w14:paraId="7507AA5B" w14:textId="77777777" w:rsidR="00CC460A" w:rsidRDefault="00CC460A" w:rsidP="00DE6219">
      <w:pPr>
        <w:rPr>
          <w:b/>
        </w:rPr>
      </w:pPr>
    </w:p>
    <w:p w14:paraId="42EF6933" w14:textId="77777777" w:rsidR="00DE6219" w:rsidRDefault="00DE6219" w:rsidP="00DE6219"/>
    <w:p w14:paraId="75A3AD07" w14:textId="77777777" w:rsidR="00DE6219" w:rsidRDefault="00DE6219" w:rsidP="00DE6219">
      <w:bookmarkStart w:id="0" w:name="_GoBack"/>
      <w:bookmarkEnd w:id="0"/>
    </w:p>
    <w:p w14:paraId="2331EE24" w14:textId="77777777" w:rsidR="00DE6219" w:rsidRDefault="00DE6219" w:rsidP="00DE6219"/>
    <w:p w14:paraId="4D8993A6" w14:textId="77777777" w:rsidR="00DE6219" w:rsidRDefault="00DE6219" w:rsidP="00DE6219">
      <w:r>
        <w:t>James M. Curry</w:t>
      </w:r>
    </w:p>
    <w:p w14:paraId="31F22677" w14:textId="77777777" w:rsidR="00DE6219" w:rsidRDefault="00DE6219" w:rsidP="00DE6219">
      <w:r>
        <w:t>Department of Political Science</w:t>
      </w:r>
    </w:p>
    <w:p w14:paraId="31BA70EF" w14:textId="77777777" w:rsidR="00DE6219" w:rsidRDefault="00DE6219" w:rsidP="00DE6219">
      <w:r>
        <w:t>University of Utah</w:t>
      </w:r>
    </w:p>
    <w:p w14:paraId="588B4229" w14:textId="77777777" w:rsidR="00DE6219" w:rsidRDefault="002464D1" w:rsidP="00DE6219">
      <w:hyperlink r:id="rId8" w:history="1">
        <w:r w:rsidR="00C232FF" w:rsidRPr="007B792B">
          <w:rPr>
            <w:rStyle w:val="Hyperlink"/>
          </w:rPr>
          <w:t>james.curry@utah.edu</w:t>
        </w:r>
      </w:hyperlink>
    </w:p>
    <w:p w14:paraId="717607B7" w14:textId="77777777" w:rsidR="00DE6219" w:rsidRDefault="00DE6219" w:rsidP="00DE6219"/>
    <w:p w14:paraId="5812FC1A" w14:textId="77777777" w:rsidR="00DE6219" w:rsidRDefault="00DE6219" w:rsidP="00DE6219">
      <w:r>
        <w:t>Matthew Haydon</w:t>
      </w:r>
    </w:p>
    <w:p w14:paraId="6B5E5EC3" w14:textId="77777777" w:rsidR="00DE6219" w:rsidRDefault="00DE6219" w:rsidP="00DE6219">
      <w:r>
        <w:t>Department of Political Science</w:t>
      </w:r>
    </w:p>
    <w:p w14:paraId="1E665F92" w14:textId="77777777" w:rsidR="00DE6219" w:rsidRDefault="00DE6219" w:rsidP="00DE6219">
      <w:r>
        <w:t>University of Utah</w:t>
      </w:r>
    </w:p>
    <w:p w14:paraId="586D19E9" w14:textId="77777777" w:rsidR="00DE6219" w:rsidRDefault="002464D1" w:rsidP="00DE6219">
      <w:hyperlink r:id="rId9" w:history="1">
        <w:r w:rsidR="00C232FF" w:rsidRPr="007B792B">
          <w:rPr>
            <w:rStyle w:val="Hyperlink"/>
          </w:rPr>
          <w:t>matt.haydon@utah.edu</w:t>
        </w:r>
      </w:hyperlink>
    </w:p>
    <w:p w14:paraId="6C87F07C" w14:textId="77777777" w:rsidR="00C232FF" w:rsidRDefault="00C232FF" w:rsidP="00DE6219"/>
    <w:p w14:paraId="3621B404" w14:textId="77777777" w:rsidR="00DE6219" w:rsidRDefault="00DE6219" w:rsidP="00DE6219"/>
    <w:p w14:paraId="4603D7BE" w14:textId="77777777" w:rsidR="00DE6219" w:rsidRDefault="00DE6219" w:rsidP="00DE6219"/>
    <w:p w14:paraId="1C786925" w14:textId="77777777" w:rsidR="003B1D39" w:rsidRDefault="003B1D39" w:rsidP="00DE6219"/>
    <w:p w14:paraId="5266711B" w14:textId="77777777" w:rsidR="003B1D39" w:rsidRDefault="003B1D39" w:rsidP="00DE6219"/>
    <w:p w14:paraId="3F0DE948" w14:textId="77777777" w:rsidR="003B1D39" w:rsidRDefault="003B1D39" w:rsidP="00DE6219"/>
    <w:p w14:paraId="13BB4C25" w14:textId="77777777" w:rsidR="003B1D39" w:rsidRDefault="003B1D39" w:rsidP="00DE6219"/>
    <w:p w14:paraId="315BBBB7" w14:textId="77777777" w:rsidR="007F28F7" w:rsidRDefault="007F28F7" w:rsidP="00DE6219"/>
    <w:p w14:paraId="273D3805" w14:textId="77777777" w:rsidR="007F28F7" w:rsidRDefault="007F28F7" w:rsidP="00DE6219"/>
    <w:p w14:paraId="729AEECE" w14:textId="77777777" w:rsidR="007F28F7" w:rsidRDefault="007F28F7" w:rsidP="00DE6219"/>
    <w:p w14:paraId="3CC8509E" w14:textId="77777777" w:rsidR="007F28F7" w:rsidRDefault="007F28F7" w:rsidP="00DE6219"/>
    <w:p w14:paraId="1364EAE1" w14:textId="77777777" w:rsidR="003B1D39" w:rsidRDefault="003B1D39" w:rsidP="00DE6219"/>
    <w:p w14:paraId="21937F80" w14:textId="77777777" w:rsidR="003B1D39" w:rsidRDefault="003B1D39" w:rsidP="00DE6219"/>
    <w:p w14:paraId="328F0919" w14:textId="77777777" w:rsidR="003B1D39" w:rsidRDefault="003B1D39" w:rsidP="00DE6219"/>
    <w:p w14:paraId="345CD561" w14:textId="52DC46F0" w:rsidR="003B1D39" w:rsidRDefault="003B1D39" w:rsidP="00DE6219">
      <w:r>
        <w:t xml:space="preserve">Prepared for presentation at the </w:t>
      </w:r>
      <w:r w:rsidR="00CB0AA3">
        <w:t>2015 Annual Meeting of the Wester</w:t>
      </w:r>
      <w:r w:rsidR="007F28F7">
        <w:t>n Political Science Association in</w:t>
      </w:r>
      <w:r w:rsidR="00CB0AA3">
        <w:t xml:space="preserve"> Las Vegas, NV, April 4, 2015</w:t>
      </w:r>
    </w:p>
    <w:p w14:paraId="6AE63A18" w14:textId="77777777" w:rsidR="003B1D39" w:rsidRDefault="003B1D39" w:rsidP="00DE6219"/>
    <w:p w14:paraId="1D4F884E" w14:textId="77777777" w:rsidR="003B1D39" w:rsidRDefault="003B1D39" w:rsidP="00DE6219">
      <w:pPr>
        <w:sectPr w:rsidR="003B1D39" w:rsidSect="00DE6219">
          <w:footerReference w:type="default" r:id="rId10"/>
          <w:pgSz w:w="12240" w:h="15840"/>
          <w:pgMar w:top="1440" w:right="1440" w:bottom="1440" w:left="1440" w:header="720" w:footer="720" w:gutter="0"/>
          <w:cols w:space="720"/>
          <w:titlePg/>
          <w:docGrid w:linePitch="360"/>
        </w:sectPr>
      </w:pPr>
    </w:p>
    <w:p w14:paraId="11559E6D" w14:textId="0476D342" w:rsidR="00DE6219" w:rsidRDefault="00DE6219" w:rsidP="00D90731">
      <w:pPr>
        <w:spacing w:line="480" w:lineRule="auto"/>
      </w:pPr>
      <w:r>
        <w:rPr>
          <w:b/>
        </w:rPr>
        <w:lastRenderedPageBreak/>
        <w:t>Abstract</w:t>
      </w:r>
    </w:p>
    <w:p w14:paraId="20D5712C" w14:textId="641CED9A" w:rsidR="00887734" w:rsidRDefault="00E800ED" w:rsidP="00D90731">
      <w:pPr>
        <w:spacing w:line="480" w:lineRule="auto"/>
        <w:jc w:val="left"/>
      </w:pPr>
      <w:r>
        <w:t xml:space="preserve">Political scientists have </w:t>
      </w:r>
      <w:r w:rsidR="00E82A50">
        <w:t xml:space="preserve">demonstrated </w:t>
      </w:r>
      <w:r>
        <w:t xml:space="preserve">the importance </w:t>
      </w:r>
      <w:r w:rsidR="00BE7BEF">
        <w:t xml:space="preserve">lawmakers’ identifies, showing that a </w:t>
      </w:r>
      <w:r w:rsidR="00B417D4">
        <w:t>legislator</w:t>
      </w:r>
      <w:r w:rsidR="00BE7BEF">
        <w:t>s’</w:t>
      </w:r>
      <w:r w:rsidR="00B417D4">
        <w:t xml:space="preserve"> </w:t>
      </w:r>
      <w:r>
        <w:t>race</w:t>
      </w:r>
      <w:r w:rsidR="00BE7BEF">
        <w:t>s</w:t>
      </w:r>
      <w:r>
        <w:t>, gender</w:t>
      </w:r>
      <w:r w:rsidR="00BE7BEF">
        <w:t>s</w:t>
      </w:r>
      <w:r>
        <w:t>, socioeconomic status</w:t>
      </w:r>
      <w:r w:rsidR="00BE7BEF">
        <w:t>es</w:t>
      </w:r>
      <w:r>
        <w:t>, and sexual orientation</w:t>
      </w:r>
      <w:r w:rsidR="00BE7BEF">
        <w:t>s</w:t>
      </w:r>
      <w:r>
        <w:t xml:space="preserve"> affect </w:t>
      </w:r>
      <w:r w:rsidR="00BE7BEF">
        <w:t>their</w:t>
      </w:r>
      <w:r>
        <w:t xml:space="preserve"> behavior. Is the same true for age? </w:t>
      </w:r>
      <w:r w:rsidR="00BE7BEF">
        <w:t>We argue it does, but the effect is conditional on the salience of different “</w:t>
      </w:r>
      <w:r w:rsidR="00A074FB">
        <w:t>senior</w:t>
      </w:r>
      <w:r w:rsidR="00BE7BEF">
        <w:t xml:space="preserve"> issues.” </w:t>
      </w:r>
      <w:r w:rsidR="00B417D4">
        <w:t>A</w:t>
      </w:r>
      <w:r>
        <w:t>nalyzing the bill sponsorship behavior of members</w:t>
      </w:r>
      <w:r w:rsidR="00B417D4">
        <w:t xml:space="preserve"> of Congress</w:t>
      </w:r>
      <w:r>
        <w:t xml:space="preserve"> during the 109</w:t>
      </w:r>
      <w:r w:rsidRPr="00D90731">
        <w:t>th</w:t>
      </w:r>
      <w:r>
        <w:t xml:space="preserve"> and 110</w:t>
      </w:r>
      <w:r w:rsidRPr="00D90731">
        <w:t>th</w:t>
      </w:r>
      <w:r>
        <w:t xml:space="preserve"> congresses, we show that </w:t>
      </w:r>
      <w:r w:rsidR="00A074FB">
        <w:t>o</w:t>
      </w:r>
      <w:r>
        <w:t xml:space="preserve">lder lawmakers are more likely to introduce legislation addressing </w:t>
      </w:r>
      <w:r w:rsidRPr="0003404B">
        <w:rPr>
          <w:i/>
        </w:rPr>
        <w:t>low-salience</w:t>
      </w:r>
      <w:r>
        <w:t xml:space="preserve"> senior issues than their younger </w:t>
      </w:r>
      <w:r w:rsidR="00D86812">
        <w:t>colleagues</w:t>
      </w:r>
      <w:r w:rsidR="00B417D4">
        <w:t>,</w:t>
      </w:r>
      <w:r>
        <w:t xml:space="preserve"> </w:t>
      </w:r>
      <w:r w:rsidR="00B417D4">
        <w:t xml:space="preserve">while sizeable senior constituencies in a district influence lawmaker attention on </w:t>
      </w:r>
      <w:r w:rsidR="00B417D4" w:rsidRPr="0003404B">
        <w:rPr>
          <w:i/>
        </w:rPr>
        <w:t>high-salience</w:t>
      </w:r>
      <w:r w:rsidR="00B417D4">
        <w:t xml:space="preserve"> senior issues</w:t>
      </w:r>
      <w:r w:rsidR="00A074FB">
        <w:t>,</w:t>
      </w:r>
      <w:r w:rsidR="00B417D4">
        <w:t xml:space="preserve"> regardless of a lawmaker’s age.</w:t>
      </w:r>
      <w:r w:rsidR="00887734">
        <w:t xml:space="preserve"> These findings have implications for our understanding of senior power and descriptive representation in the United States.</w:t>
      </w:r>
    </w:p>
    <w:p w14:paraId="1CAB7119" w14:textId="62DC0DB1" w:rsidR="00DE6219" w:rsidRDefault="00DE6219" w:rsidP="00D90731">
      <w:pPr>
        <w:spacing w:line="480" w:lineRule="auto"/>
        <w:jc w:val="left"/>
      </w:pPr>
    </w:p>
    <w:p w14:paraId="22B1FA20" w14:textId="77777777" w:rsidR="00887734" w:rsidRDefault="00887734">
      <w:r>
        <w:br w:type="page"/>
      </w:r>
    </w:p>
    <w:p w14:paraId="781E9A14" w14:textId="11515C5B" w:rsidR="00DE6219" w:rsidRDefault="00DE6219" w:rsidP="00447CFD">
      <w:pPr>
        <w:spacing w:line="480" w:lineRule="auto"/>
        <w:jc w:val="left"/>
      </w:pPr>
      <w:r>
        <w:lastRenderedPageBreak/>
        <w:t>In 2009, 24% of elected members of the House of Representatives were 65 years or older</w:t>
      </w:r>
      <w:r w:rsidR="00CC460A">
        <w:t xml:space="preserve">, as were </w:t>
      </w:r>
      <w:r w:rsidR="00C846F8">
        <w:t>48</w:t>
      </w:r>
      <w:r w:rsidR="00CC460A">
        <w:t xml:space="preserve">% of </w:t>
      </w:r>
      <w:r w:rsidR="002D79B1">
        <w:t>s</w:t>
      </w:r>
      <w:r w:rsidR="00CC460A">
        <w:t>enators</w:t>
      </w:r>
      <w:r>
        <w:t xml:space="preserve">. By comparison, just 13% of the country’s </w:t>
      </w:r>
      <w:r w:rsidR="003B3DB8">
        <w:t xml:space="preserve">total </w:t>
      </w:r>
      <w:r>
        <w:t>population</w:t>
      </w:r>
      <w:r w:rsidR="003B3DB8">
        <w:t>, and 18</w:t>
      </w:r>
      <w:r w:rsidR="000031C0">
        <w:t xml:space="preserve">% </w:t>
      </w:r>
      <w:r w:rsidR="003B3DB8">
        <w:t>of adults,</w:t>
      </w:r>
      <w:r>
        <w:t xml:space="preserve"> w</w:t>
      </w:r>
      <w:r w:rsidR="003B3DB8">
        <w:t>ere</w:t>
      </w:r>
      <w:r>
        <w:t xml:space="preserve"> in that age group. Similarly, the </w:t>
      </w:r>
      <w:r w:rsidR="00B20950">
        <w:t>typical</w:t>
      </w:r>
      <w:r>
        <w:t xml:space="preserve"> House member was 57 years of age</w:t>
      </w:r>
      <w:r w:rsidR="00CC460A">
        <w:t xml:space="preserve"> and the typical </w:t>
      </w:r>
      <w:r w:rsidR="002D79B1">
        <w:t>s</w:t>
      </w:r>
      <w:r w:rsidR="00CC460A">
        <w:t>enator was 63</w:t>
      </w:r>
      <w:r w:rsidR="003B3DB8">
        <w:t xml:space="preserve"> in 2009</w:t>
      </w:r>
      <w:r>
        <w:t xml:space="preserve">, while the median age among all Americans was just 37. </w:t>
      </w:r>
      <w:r w:rsidR="003B3DB8">
        <w:t xml:space="preserve">In short, there is an age bias among elected members of Congress. </w:t>
      </w:r>
      <w:r w:rsidR="00D86812">
        <w:t>W</w:t>
      </w:r>
      <w:r w:rsidR="003B3DB8">
        <w:t xml:space="preserve">hile this </w:t>
      </w:r>
      <w:r>
        <w:t>bias is well known, surprisingly it</w:t>
      </w:r>
      <w:r w:rsidR="00BF76C0">
        <w:t xml:space="preserve">s </w:t>
      </w:r>
      <w:r w:rsidR="00D86812">
        <w:t xml:space="preserve">consequences </w:t>
      </w:r>
      <w:r w:rsidR="00BF76C0">
        <w:t>have</w:t>
      </w:r>
      <w:r>
        <w:t xml:space="preserve"> been little studied. Typically, </w:t>
      </w:r>
      <w:r w:rsidR="00B20950">
        <w:t>it is</w:t>
      </w:r>
      <w:r>
        <w:t xml:space="preserve"> believe</w:t>
      </w:r>
      <w:r w:rsidR="00B20950">
        <w:t>d</w:t>
      </w:r>
      <w:r>
        <w:t xml:space="preserve"> that issues important to </w:t>
      </w:r>
      <w:r w:rsidR="00CC460A">
        <w:t>American seniors</w:t>
      </w:r>
      <w:r>
        <w:t xml:space="preserve"> receive </w:t>
      </w:r>
      <w:r w:rsidR="00BF76C0">
        <w:t xml:space="preserve">disproportionate </w:t>
      </w:r>
      <w:r>
        <w:t xml:space="preserve">governmental attention because older Americans </w:t>
      </w:r>
      <w:r w:rsidR="00CC460A">
        <w:t>have</w:t>
      </w:r>
      <w:r w:rsidR="00BF76C0">
        <w:t xml:space="preserve"> </w:t>
      </w:r>
      <w:r w:rsidR="00CC460A">
        <w:t xml:space="preserve">strong group interests and vote, donate, and generally participate </w:t>
      </w:r>
      <w:r>
        <w:t>in politics</w:t>
      </w:r>
      <w:r w:rsidR="00CC460A">
        <w:t xml:space="preserve"> and elections</w:t>
      </w:r>
      <w:r>
        <w:t xml:space="preserve"> at higher rates than younger Americans. However, as demonstrate</w:t>
      </w:r>
      <w:r w:rsidR="00B20950">
        <w:t>d</w:t>
      </w:r>
      <w:r>
        <w:t xml:space="preserve"> in this paper, the </w:t>
      </w:r>
      <w:r w:rsidR="00CC460A">
        <w:t>prevalence</w:t>
      </w:r>
      <w:r>
        <w:t xml:space="preserve"> of </w:t>
      </w:r>
      <w:r w:rsidR="00CC460A">
        <w:t>senior</w:t>
      </w:r>
      <w:r w:rsidR="00BF76C0">
        <w:t>s</w:t>
      </w:r>
      <w:r>
        <w:t xml:space="preserve"> in the halls of Congress also contributes to </w:t>
      </w:r>
      <w:r w:rsidR="003B3DB8">
        <w:t>the attention paid to “senior” issues</w:t>
      </w:r>
      <w:r>
        <w:t>.</w:t>
      </w:r>
    </w:p>
    <w:p w14:paraId="4909F4D7" w14:textId="64973EAC" w:rsidR="00DE6219" w:rsidRDefault="00DE6219" w:rsidP="00447CFD">
      <w:pPr>
        <w:spacing w:line="480" w:lineRule="auto"/>
        <w:ind w:firstLine="720"/>
        <w:jc w:val="left"/>
      </w:pPr>
      <w:r>
        <w:t>Political scientists have clearly identified the importance of identity for the behavior of lawmakers. Descriptive representation has been studied as it relates to race (</w:t>
      </w:r>
      <w:r w:rsidR="001B6C6F">
        <w:t xml:space="preserve">e.g., </w:t>
      </w:r>
      <w:proofErr w:type="spellStart"/>
      <w:r w:rsidR="001B6C6F" w:rsidRPr="001B6C6F">
        <w:t>Haynie</w:t>
      </w:r>
      <w:proofErr w:type="spellEnd"/>
      <w:r w:rsidR="001B6C6F" w:rsidRPr="001B6C6F">
        <w:t xml:space="preserve"> 2001; Bratton and </w:t>
      </w:r>
      <w:proofErr w:type="spellStart"/>
      <w:r w:rsidR="001B6C6F" w:rsidRPr="001B6C6F">
        <w:t>Haynie</w:t>
      </w:r>
      <w:proofErr w:type="spellEnd"/>
      <w:r w:rsidR="001B6C6F" w:rsidRPr="001B6C6F">
        <w:t xml:space="preserve"> 1999; Gamble 2007; </w:t>
      </w:r>
      <w:proofErr w:type="spellStart"/>
      <w:r w:rsidR="001B6C6F" w:rsidRPr="001B6C6F">
        <w:t>Minta</w:t>
      </w:r>
      <w:proofErr w:type="spellEnd"/>
      <w:r w:rsidR="001B6C6F" w:rsidRPr="001B6C6F">
        <w:t xml:space="preserve"> 2009</w:t>
      </w:r>
      <w:r>
        <w:t>), gender (</w:t>
      </w:r>
      <w:r w:rsidR="001B6C6F">
        <w:t xml:space="preserve">e.g., </w:t>
      </w:r>
      <w:proofErr w:type="spellStart"/>
      <w:r w:rsidR="001B6C6F">
        <w:t>Swers</w:t>
      </w:r>
      <w:proofErr w:type="spellEnd"/>
      <w:r w:rsidR="001B6C6F">
        <w:t xml:space="preserve"> 2002; </w:t>
      </w:r>
      <w:r w:rsidR="001B6C6F">
        <w:rPr>
          <w:rFonts w:cs="Times New Roman"/>
        </w:rPr>
        <w:t xml:space="preserve">Frederick 2010; </w:t>
      </w:r>
      <w:proofErr w:type="spellStart"/>
      <w:r w:rsidR="001B6C6F">
        <w:rPr>
          <w:rFonts w:cs="Times New Roman"/>
        </w:rPr>
        <w:t>Gerrity</w:t>
      </w:r>
      <w:proofErr w:type="spellEnd"/>
      <w:r w:rsidR="001B6C6F">
        <w:rPr>
          <w:rFonts w:cs="Times New Roman"/>
        </w:rPr>
        <w:t>, et al 2007</w:t>
      </w:r>
      <w:r>
        <w:t>), socio-economic class (</w:t>
      </w:r>
      <w:r w:rsidR="001B6C6F">
        <w:t xml:space="preserve">e.g., </w:t>
      </w:r>
      <w:r>
        <w:t>Carnes 2013), and more. We know</w:t>
      </w:r>
      <w:r w:rsidR="00BF76C0">
        <w:t xml:space="preserve"> </w:t>
      </w:r>
      <w:r>
        <w:t>that minority lawmakers are more likely to focus on issues importan</w:t>
      </w:r>
      <w:r w:rsidR="00D86812">
        <w:t>t</w:t>
      </w:r>
      <w:r>
        <w:t xml:space="preserve"> to minority </w:t>
      </w:r>
      <w:r w:rsidR="003B3DB8">
        <w:t>Americans</w:t>
      </w:r>
      <w:r>
        <w:t>, female lawmakers are more likely to focus on issues important to women, and working class lawmakers are more likely to focus on issues important to the working class. We ask, is the same true for age? Are older lawmakers more likely to focus on issue</w:t>
      </w:r>
      <w:r w:rsidR="006C3E07">
        <w:t>s</w:t>
      </w:r>
      <w:r>
        <w:t xml:space="preserve"> of importance to </w:t>
      </w:r>
      <w:r w:rsidR="001B6C6F">
        <w:t>American seniors</w:t>
      </w:r>
      <w:r>
        <w:t>?</w:t>
      </w:r>
    </w:p>
    <w:p w14:paraId="68D1592C" w14:textId="2A677EA1" w:rsidR="001F2BB2" w:rsidRDefault="007F28F7" w:rsidP="007F28F7">
      <w:pPr>
        <w:spacing w:line="480" w:lineRule="auto"/>
        <w:ind w:firstLine="720"/>
        <w:jc w:val="left"/>
      </w:pPr>
      <w:r>
        <w:t xml:space="preserve">We argue that a lawmaker’s age influences their attention to “senior issues,” but that this dynamic is conditioned by the salience of each issue. While </w:t>
      </w:r>
      <w:r w:rsidR="00C125BC">
        <w:t>the actions taken by lawmakers</w:t>
      </w:r>
      <w:r>
        <w:t xml:space="preserve"> to introduce bills on </w:t>
      </w:r>
      <w:r w:rsidRPr="00096678">
        <w:rPr>
          <w:i/>
        </w:rPr>
        <w:t>high-salience</w:t>
      </w:r>
      <w:r>
        <w:t xml:space="preserve"> senior issues</w:t>
      </w:r>
      <w:r w:rsidR="00C125BC">
        <w:t>, such as</w:t>
      </w:r>
      <w:r>
        <w:t xml:space="preserve"> Medicare and other health care issues</w:t>
      </w:r>
      <w:r w:rsidR="00C125BC">
        <w:t>,</w:t>
      </w:r>
      <w:r>
        <w:t xml:space="preserve"> is driven by the size of the senior population in </w:t>
      </w:r>
      <w:r w:rsidR="00C125BC">
        <w:t>their</w:t>
      </w:r>
      <w:r>
        <w:t xml:space="preserve"> district</w:t>
      </w:r>
      <w:r w:rsidR="00C125BC">
        <w:t>s</w:t>
      </w:r>
      <w:r>
        <w:t xml:space="preserve">, it is a lawmaker’s age that </w:t>
      </w:r>
      <w:r w:rsidR="00C125BC">
        <w:t>influences</w:t>
      </w:r>
      <w:r>
        <w:t xml:space="preserve"> </w:t>
      </w:r>
      <w:r>
        <w:lastRenderedPageBreak/>
        <w:t xml:space="preserve">the likelihood they will devote time and effort to crafting and introducing legislation on other, </w:t>
      </w:r>
      <w:r w:rsidRPr="001206BB">
        <w:rPr>
          <w:i/>
        </w:rPr>
        <w:t>low-salience</w:t>
      </w:r>
      <w:r>
        <w:t xml:space="preserve"> senior issues, </w:t>
      </w:r>
      <w:r w:rsidR="00C125BC">
        <w:t>such as</w:t>
      </w:r>
      <w:r>
        <w:t xml:space="preserve"> elderly abuse, housing, and continuing education. On these issues a lawmaker’s age is highly predictive of such action, irrespective of the size of the senior population in their district. Data on bills introduced by </w:t>
      </w:r>
      <w:r w:rsidR="00DE6219">
        <w:t xml:space="preserve">members of Congress </w:t>
      </w:r>
      <w:r w:rsidR="001B6C6F">
        <w:t>during the 109th and 110th c</w:t>
      </w:r>
      <w:r w:rsidR="00DE6219">
        <w:t>ongresses</w:t>
      </w:r>
      <w:r w:rsidR="00B414A9">
        <w:t xml:space="preserve"> (2005-2008)</w:t>
      </w:r>
      <w:r>
        <w:t xml:space="preserve"> </w:t>
      </w:r>
      <w:r w:rsidR="00C125BC">
        <w:t xml:space="preserve">are leveraged to </w:t>
      </w:r>
      <w:r>
        <w:t>provide support for our theory.</w:t>
      </w:r>
      <w:r w:rsidR="002D79B1">
        <w:t xml:space="preserve"> </w:t>
      </w:r>
      <w:r w:rsidR="00B414A9">
        <w:t>This paper proceeds as follows. First, the role</w:t>
      </w:r>
      <w:r>
        <w:t>s</w:t>
      </w:r>
      <w:r w:rsidR="00B414A9">
        <w:t xml:space="preserve"> age</w:t>
      </w:r>
      <w:r>
        <w:t xml:space="preserve"> and descriptive representation</w:t>
      </w:r>
      <w:r w:rsidR="00B414A9">
        <w:t xml:space="preserve"> play in American politics </w:t>
      </w:r>
      <w:r>
        <w:t>are</w:t>
      </w:r>
      <w:r w:rsidR="00B414A9">
        <w:t xml:space="preserve"> discussed</w:t>
      </w:r>
      <w:r>
        <w:t xml:space="preserve"> including why issue salience should influence a lawmaker’s age-descriptive representation. </w:t>
      </w:r>
      <w:r w:rsidR="00B414A9">
        <w:t xml:space="preserve">Second, the data on bill introductions used to test </w:t>
      </w:r>
      <w:r w:rsidR="00C125BC">
        <w:t xml:space="preserve">our </w:t>
      </w:r>
      <w:r w:rsidR="00B414A9">
        <w:t>expectations are discussed. Third, the results of our analyses are</w:t>
      </w:r>
      <w:r w:rsidR="00B63CD5">
        <w:t xml:space="preserve"> presented</w:t>
      </w:r>
      <w:r w:rsidR="00B414A9">
        <w:t xml:space="preserve">. Fourth, the implications of the findings </w:t>
      </w:r>
      <w:r w:rsidR="001F2BB2">
        <w:t>for how we</w:t>
      </w:r>
      <w:r w:rsidR="00B63CD5">
        <w:t xml:space="preserve"> </w:t>
      </w:r>
      <w:r w:rsidR="00D90731">
        <w:t>understand</w:t>
      </w:r>
      <w:r w:rsidR="001F2BB2">
        <w:t xml:space="preserve"> representation </w:t>
      </w:r>
      <w:r w:rsidR="00B414A9">
        <w:t xml:space="preserve">and lawmaker behavior </w:t>
      </w:r>
      <w:r w:rsidR="001F2BB2">
        <w:t>in the U.S. Congress</w:t>
      </w:r>
      <w:r w:rsidR="00B414A9">
        <w:t xml:space="preserve"> are discussed</w:t>
      </w:r>
      <w:r w:rsidR="001F2BB2">
        <w:t>.</w:t>
      </w:r>
    </w:p>
    <w:p w14:paraId="4256CC12" w14:textId="19455877" w:rsidR="00500B08" w:rsidRPr="00500B08" w:rsidRDefault="00CB0AA3" w:rsidP="00BF76C0">
      <w:pPr>
        <w:spacing w:line="480" w:lineRule="auto"/>
        <w:rPr>
          <w:b/>
        </w:rPr>
      </w:pPr>
      <w:r>
        <w:rPr>
          <w:b/>
        </w:rPr>
        <w:t>Age</w:t>
      </w:r>
      <w:r w:rsidR="00C125BC">
        <w:rPr>
          <w:b/>
        </w:rPr>
        <w:t xml:space="preserve">, </w:t>
      </w:r>
      <w:r>
        <w:rPr>
          <w:b/>
        </w:rPr>
        <w:t>Descriptive Representation</w:t>
      </w:r>
      <w:r w:rsidR="00C125BC">
        <w:rPr>
          <w:b/>
        </w:rPr>
        <w:t>,</w:t>
      </w:r>
      <w:r>
        <w:rPr>
          <w:b/>
        </w:rPr>
        <w:t xml:space="preserve"> and Issue Salience</w:t>
      </w:r>
    </w:p>
    <w:p w14:paraId="16DF9546" w14:textId="68AA68E5" w:rsidR="002F25F8" w:rsidRDefault="002A3B0C" w:rsidP="00C232FF">
      <w:pPr>
        <w:spacing w:line="480" w:lineRule="auto"/>
        <w:jc w:val="left"/>
      </w:pPr>
      <w:r>
        <w:t xml:space="preserve">It is widely acknowledged that American seniors </w:t>
      </w:r>
      <w:r w:rsidR="00C125BC">
        <w:t>can</w:t>
      </w:r>
      <w:r>
        <w:t xml:space="preserve"> significant</w:t>
      </w:r>
      <w:r w:rsidR="00C125BC">
        <w:t>ly</w:t>
      </w:r>
      <w:r>
        <w:t xml:space="preserve"> influence American public policy making, particularly </w:t>
      </w:r>
      <w:r w:rsidR="00C125BC">
        <w:t>on</w:t>
      </w:r>
      <w:r>
        <w:t xml:space="preserve"> issues</w:t>
      </w:r>
      <w:r w:rsidR="00C125BC">
        <w:t xml:space="preserve"> and governmental programs</w:t>
      </w:r>
      <w:r>
        <w:t xml:space="preserve"> </w:t>
      </w:r>
      <w:r w:rsidR="002D79B1">
        <w:t>important</w:t>
      </w:r>
      <w:r>
        <w:t xml:space="preserve"> to </w:t>
      </w:r>
      <w:r w:rsidR="002D79B1">
        <w:t>them</w:t>
      </w:r>
      <w:r>
        <w:t xml:space="preserve"> such as Medicare, Medicaid, and Social Security. F</w:t>
      </w:r>
      <w:r w:rsidR="00C232FF">
        <w:t>or decades, scholarship has attributed</w:t>
      </w:r>
      <w:r w:rsidR="00C125BC">
        <w:t xml:space="preserve"> this</w:t>
      </w:r>
      <w:r w:rsidR="00C232FF">
        <w:t xml:space="preserve"> senior power or “gray power” to </w:t>
      </w:r>
      <w:r>
        <w:t>the</w:t>
      </w:r>
      <w:r w:rsidR="00C232FF">
        <w:t xml:space="preserve"> numerical size, political cohesion, and high level of political activity</w:t>
      </w:r>
      <w:r>
        <w:t xml:space="preserve"> </w:t>
      </w:r>
      <w:r w:rsidR="00C125BC">
        <w:t xml:space="preserve">found </w:t>
      </w:r>
      <w:r>
        <w:t>among seniors in the public</w:t>
      </w:r>
      <w:r w:rsidR="00C232FF">
        <w:t>. Th</w:t>
      </w:r>
      <w:r>
        <w:t>is</w:t>
      </w:r>
      <w:r w:rsidR="00C232FF">
        <w:t xml:space="preserve"> “senior power model” argues that because seniors compose a large proportion of the public, have significant </w:t>
      </w:r>
      <w:r w:rsidR="00D86812">
        <w:t>group</w:t>
      </w:r>
      <w:r w:rsidR="00C232FF">
        <w:t xml:space="preserve"> policy </w:t>
      </w:r>
      <w:r w:rsidR="006325AE">
        <w:t>self-interests</w:t>
      </w:r>
      <w:r w:rsidR="00C232FF">
        <w:t>, and have developed active and influential interest groups (such as</w:t>
      </w:r>
      <w:r w:rsidR="002D79B1">
        <w:t xml:space="preserve"> the</w:t>
      </w:r>
      <w:r w:rsidR="00C232FF">
        <w:t xml:space="preserve"> AARP), </w:t>
      </w:r>
      <w:r w:rsidR="00C125BC">
        <w:t xml:space="preserve">they </w:t>
      </w:r>
      <w:r w:rsidR="00C232FF">
        <w:t xml:space="preserve">have outsized influence </w:t>
      </w:r>
      <w:r w:rsidR="002D79B1">
        <w:t>over</w:t>
      </w:r>
      <w:r w:rsidR="00C232FF">
        <w:t xml:space="preserve"> the public policy decisions of their representatives (</w:t>
      </w:r>
      <w:proofErr w:type="spellStart"/>
      <w:r w:rsidR="00C232FF">
        <w:t>Binstock</w:t>
      </w:r>
      <w:proofErr w:type="spellEnd"/>
      <w:r w:rsidR="00C232FF">
        <w:t xml:space="preserve"> 1997; Schulz </w:t>
      </w:r>
      <w:r w:rsidR="002A39B9">
        <w:t xml:space="preserve">and </w:t>
      </w:r>
      <w:proofErr w:type="spellStart"/>
      <w:r w:rsidR="002A39B9">
        <w:t>Binstock</w:t>
      </w:r>
      <w:proofErr w:type="spellEnd"/>
      <w:r w:rsidR="002A39B9">
        <w:t xml:space="preserve"> 2008</w:t>
      </w:r>
      <w:r w:rsidR="00C232FF">
        <w:t>; Pratt 1993; Rix 1999; Street 1999).</w:t>
      </w:r>
    </w:p>
    <w:p w14:paraId="3BAE6321" w14:textId="7BC19EB1" w:rsidR="00813134" w:rsidRDefault="006325AE" w:rsidP="00096678">
      <w:pPr>
        <w:spacing w:line="480" w:lineRule="auto"/>
        <w:ind w:firstLine="720"/>
        <w:jc w:val="left"/>
      </w:pPr>
      <w:r>
        <w:t>I</w:t>
      </w:r>
      <w:r w:rsidR="00C232FF">
        <w:t xml:space="preserve">nterest in senior power </w:t>
      </w:r>
      <w:r>
        <w:t xml:space="preserve">emerged </w:t>
      </w:r>
      <w:r w:rsidR="00C232FF">
        <w:t xml:space="preserve">in the 1970s </w:t>
      </w:r>
      <w:r w:rsidR="00B414A9">
        <w:t xml:space="preserve">as </w:t>
      </w:r>
      <w:r w:rsidR="00C232FF">
        <w:t xml:space="preserve">scholars predicted that </w:t>
      </w:r>
      <w:r w:rsidR="002A5400">
        <w:t>the</w:t>
      </w:r>
      <w:r w:rsidR="00B414A9">
        <w:t xml:space="preserve"> </w:t>
      </w:r>
      <w:r w:rsidR="00C232FF">
        <w:t xml:space="preserve">growing elderly population would </w:t>
      </w:r>
      <w:r w:rsidR="002A5400">
        <w:t>become established as</w:t>
      </w:r>
      <w:r w:rsidR="00C232FF">
        <w:t xml:space="preserve"> a powerful voting bloc, particularly in the Sunbelt and other state</w:t>
      </w:r>
      <w:r w:rsidR="002A5400">
        <w:t>s</w:t>
      </w:r>
      <w:r w:rsidR="00C232FF">
        <w:t xml:space="preserve"> with large retiree</w:t>
      </w:r>
      <w:r>
        <w:t xml:space="preserve"> populations</w:t>
      </w:r>
      <w:r w:rsidR="00C232FF">
        <w:t xml:space="preserve">, and </w:t>
      </w:r>
      <w:r w:rsidR="002A5400">
        <w:t xml:space="preserve">that these seniors </w:t>
      </w:r>
      <w:r w:rsidR="00C232FF">
        <w:t xml:space="preserve">would alter the </w:t>
      </w:r>
      <w:r w:rsidR="00C232FF">
        <w:lastRenderedPageBreak/>
        <w:t>dynamics of both local and national politics</w:t>
      </w:r>
      <w:r w:rsidR="00B414A9">
        <w:t xml:space="preserve"> and policymaking</w:t>
      </w:r>
      <w:r w:rsidR="00C232FF">
        <w:t xml:space="preserve"> (</w:t>
      </w:r>
      <w:r w:rsidR="00B414A9">
        <w:t xml:space="preserve">e.g., </w:t>
      </w:r>
      <w:proofErr w:type="spellStart"/>
      <w:r w:rsidR="00C232FF">
        <w:t>Trela</w:t>
      </w:r>
      <w:proofErr w:type="spellEnd"/>
      <w:r w:rsidR="00C232FF">
        <w:t xml:space="preserve"> 1971; Weaver 1976). Indeed, today the senior population in the United States </w:t>
      </w:r>
      <w:r w:rsidR="002A5400">
        <w:t xml:space="preserve">has grown </w:t>
      </w:r>
      <w:r w:rsidR="00C232FF">
        <w:t>and</w:t>
      </w:r>
      <w:r w:rsidR="002A5400" w:rsidRPr="002A5400">
        <w:t xml:space="preserve"> </w:t>
      </w:r>
      <w:r w:rsidR="002A5400">
        <w:t>is large</w:t>
      </w:r>
      <w:r w:rsidR="00C232FF">
        <w:t xml:space="preserve">. Thirteen percent of Americans today are over the age of 65, compared to </w:t>
      </w:r>
      <w:r w:rsidR="002A5400">
        <w:t>less than 10%</w:t>
      </w:r>
      <w:r w:rsidR="00B414A9">
        <w:t xml:space="preserve"> </w:t>
      </w:r>
      <w:r w:rsidR="00C232FF">
        <w:t>in 1970 (U.S. Census Bureau 2014)</w:t>
      </w:r>
      <w:r w:rsidR="00B414A9">
        <w:t>,</w:t>
      </w:r>
      <w:r w:rsidR="00C232FF">
        <w:t xml:space="preserve"> </w:t>
      </w:r>
      <w:r w:rsidR="00B414A9">
        <w:t xml:space="preserve">and this is a population that continues to grow. Between 2000 and 2010 the over 65 population grew at a faster rate (15%) than any other </w:t>
      </w:r>
      <w:r w:rsidR="00E957C4">
        <w:t>age group</w:t>
      </w:r>
      <w:r w:rsidR="00B414A9">
        <w:t xml:space="preserve">, and </w:t>
      </w:r>
      <w:r w:rsidR="00E957C4">
        <w:t xml:space="preserve">more </w:t>
      </w:r>
      <w:r w:rsidR="00D86812">
        <w:t xml:space="preserve">Americans </w:t>
      </w:r>
      <w:r w:rsidR="00E957C4">
        <w:t>were over 65</w:t>
      </w:r>
      <w:r w:rsidR="00D86812">
        <w:t xml:space="preserve"> in 2010</w:t>
      </w:r>
      <w:r w:rsidR="00E957C4">
        <w:t xml:space="preserve"> than in any previous census (Census 2011). </w:t>
      </w:r>
      <w:r w:rsidR="00B414A9">
        <w:t>Importantly, this large senior population has group interest</w:t>
      </w:r>
      <w:r w:rsidR="00E957C4">
        <w:t>s</w:t>
      </w:r>
      <w:r w:rsidR="00B414A9">
        <w:t xml:space="preserve"> to fight for, including </w:t>
      </w:r>
      <w:r w:rsidR="00E957C4">
        <w:t xml:space="preserve">preserving and expanding </w:t>
      </w:r>
      <w:r w:rsidR="00B414A9">
        <w:t>Medicare and other social welfare programs.</w:t>
      </w:r>
      <w:r w:rsidR="00C232FF">
        <w:t xml:space="preserve"> American seniors get nearly half of their income from Social Security</w:t>
      </w:r>
      <w:r w:rsidR="002F25F8">
        <w:t xml:space="preserve"> benefits</w:t>
      </w:r>
      <w:r w:rsidR="00B414A9">
        <w:t xml:space="preserve"> (Moon and </w:t>
      </w:r>
      <w:proofErr w:type="spellStart"/>
      <w:r w:rsidR="00B414A9">
        <w:t>Mulvey</w:t>
      </w:r>
      <w:proofErr w:type="spellEnd"/>
      <w:r w:rsidR="00B414A9">
        <w:t xml:space="preserve"> 1996, 29), and the vast majority of seniors use Medicare</w:t>
      </w:r>
      <w:r w:rsidR="00E62593">
        <w:t xml:space="preserve"> or Medicaid</w:t>
      </w:r>
      <w:r w:rsidR="00B414A9">
        <w:t xml:space="preserve"> for all or some of their health care costs</w:t>
      </w:r>
      <w:r w:rsidR="00C232FF">
        <w:t>.</w:t>
      </w:r>
      <w:r w:rsidR="00813134">
        <w:t xml:space="preserve"> Further, seniors benefit from a positive image among the broader public, which aids their causes. Compared to other groups, retirees and senior Americans are both </w:t>
      </w:r>
      <w:r w:rsidR="00E62593">
        <w:t>easily</w:t>
      </w:r>
      <w:r w:rsidR="00813134">
        <w:t xml:space="preserve"> identifiable and enjoy high levels of public sympathy and political visibility (Pratt 1976).</w:t>
      </w:r>
    </w:p>
    <w:p w14:paraId="0F0669CB" w14:textId="2B15F255" w:rsidR="00C232FF" w:rsidRDefault="00C232FF" w:rsidP="00C232FF">
      <w:pPr>
        <w:spacing w:line="480" w:lineRule="auto"/>
        <w:jc w:val="left"/>
      </w:pPr>
      <w:r>
        <w:tab/>
      </w:r>
      <w:r w:rsidR="002F25F8">
        <w:t>That</w:t>
      </w:r>
      <w:r>
        <w:t xml:space="preserve"> senior citizens participate in politics at higher rates than most Americans </w:t>
      </w:r>
      <w:r w:rsidR="002F25F8">
        <w:t xml:space="preserve">only </w:t>
      </w:r>
      <w:r w:rsidR="00E62593">
        <w:t xml:space="preserve">strengthens </w:t>
      </w:r>
      <w:r>
        <w:t>the senior power model. The likelihood of participating in elections increases with age (Wolfinger and Rosenstone 1980). Persons aged 65 and older constitute a substantial proportion of voting age Americans</w:t>
      </w:r>
      <w:r w:rsidR="002F25F8">
        <w:t>. In 2012,</w:t>
      </w:r>
      <w:r>
        <w:t xml:space="preserve"> </w:t>
      </w:r>
      <w:r w:rsidR="002F25F8">
        <w:t>70% of Americans 65 years or older voted, by far the highest rate of participation among any age group</w:t>
      </w:r>
      <w:r>
        <w:t xml:space="preserve"> (File 201</w:t>
      </w:r>
      <w:r w:rsidR="00A972C4">
        <w:t>3</w:t>
      </w:r>
      <w:r>
        <w:t xml:space="preserve">). </w:t>
      </w:r>
      <w:r w:rsidR="002F25F8">
        <w:t>In some states, senior</w:t>
      </w:r>
      <w:r w:rsidR="00E957C4">
        <w:t>s</w:t>
      </w:r>
      <w:r w:rsidR="002F25F8">
        <w:t xml:space="preserve"> </w:t>
      </w:r>
      <w:r w:rsidR="00E957C4">
        <w:t>constitute</w:t>
      </w:r>
      <w:r w:rsidR="002F25F8">
        <w:t xml:space="preserve"> a </w:t>
      </w:r>
      <w:r w:rsidR="00D86812">
        <w:t xml:space="preserve">particularly </w:t>
      </w:r>
      <w:r w:rsidR="002F25F8">
        <w:t>substantial voting bloc.</w:t>
      </w:r>
      <w:r w:rsidR="00881743">
        <w:t xml:space="preserve"> In the 2004 elections in Florida</w:t>
      </w:r>
      <w:r w:rsidR="002F25F8">
        <w:t>, for instance</w:t>
      </w:r>
      <w:r w:rsidR="001F0CCB">
        <w:t>,</w:t>
      </w:r>
      <w:r w:rsidR="002F25F8">
        <w:t xml:space="preserve"> voters age 60 and older made up more than one-quarter of the</w:t>
      </w:r>
      <w:r w:rsidR="00E62593">
        <w:t xml:space="preserve"> state’s</w:t>
      </w:r>
      <w:r w:rsidR="002F25F8">
        <w:t xml:space="preserve"> electorate. </w:t>
      </w:r>
      <w:r w:rsidR="00E957C4">
        <w:t>While there is some debate over the actual amount of political power seniors can wield (</w:t>
      </w:r>
      <w:r w:rsidR="00D86812">
        <w:t xml:space="preserve">see, </w:t>
      </w:r>
      <w:r w:rsidR="00E957C4">
        <w:t>e.g., Sherman, Ward, a</w:t>
      </w:r>
      <w:r w:rsidR="00CB183F">
        <w:t xml:space="preserve">nd </w:t>
      </w:r>
      <w:proofErr w:type="spellStart"/>
      <w:r w:rsidR="00CB183F">
        <w:t>LaGory</w:t>
      </w:r>
      <w:proofErr w:type="spellEnd"/>
      <w:r w:rsidR="00CB183F">
        <w:t xml:space="preserve"> 1984), </w:t>
      </w:r>
      <w:proofErr w:type="spellStart"/>
      <w:r w:rsidR="00CB183F">
        <w:t>Bramlett</w:t>
      </w:r>
      <w:proofErr w:type="spellEnd"/>
      <w:r w:rsidR="00CB183F">
        <w:t xml:space="preserve"> (2015</w:t>
      </w:r>
      <w:r w:rsidR="00E957C4">
        <w:t xml:space="preserve">) shows that </w:t>
      </w:r>
      <w:r w:rsidR="002A3B0C">
        <w:t xml:space="preserve">large </w:t>
      </w:r>
      <w:r w:rsidR="00E957C4">
        <w:t xml:space="preserve">communities of seniors often </w:t>
      </w:r>
      <w:r w:rsidR="00E957C4">
        <w:lastRenderedPageBreak/>
        <w:t>reinforce participation among their age group, amplifying their political power within these constituencies.</w:t>
      </w:r>
      <w:r w:rsidR="00E957C4">
        <w:tab/>
      </w:r>
      <w:r>
        <w:t xml:space="preserve"> </w:t>
      </w:r>
    </w:p>
    <w:p w14:paraId="041545CD" w14:textId="1B4C8984" w:rsidR="00C232FF" w:rsidRDefault="00C232FF" w:rsidP="00C232FF">
      <w:pPr>
        <w:spacing w:line="480" w:lineRule="auto"/>
        <w:jc w:val="left"/>
      </w:pPr>
      <w:r>
        <w:tab/>
        <w:t xml:space="preserve">It is for these reasons that we </w:t>
      </w:r>
      <w:r w:rsidR="00E957C4">
        <w:t xml:space="preserve">typically view </w:t>
      </w:r>
      <w:r>
        <w:t>seniors as a powerful political group</w:t>
      </w:r>
      <w:r w:rsidR="00805B15">
        <w:t>; it is</w:t>
      </w:r>
      <w:r>
        <w:t xml:space="preserve"> why </w:t>
      </w:r>
      <w:r w:rsidR="00E62593">
        <w:t xml:space="preserve">former House Speaker </w:t>
      </w:r>
      <w:r>
        <w:t>Tip O’Neil</w:t>
      </w:r>
      <w:r w:rsidR="00E62593">
        <w:t>l</w:t>
      </w:r>
      <w:r>
        <w:t xml:space="preserve"> coined the term “third rail of politics” </w:t>
      </w:r>
      <w:r w:rsidR="002D79B1">
        <w:t>in reference</w:t>
      </w:r>
      <w:r>
        <w:t xml:space="preserve"> to Social Security</w:t>
      </w:r>
      <w:r w:rsidR="00805B15">
        <w:t xml:space="preserve">; </w:t>
      </w:r>
      <w:r w:rsidR="00E957C4">
        <w:t>and i</w:t>
      </w:r>
      <w:r>
        <w:t xml:space="preserve">t is the reason </w:t>
      </w:r>
      <w:r w:rsidR="007C2F7B">
        <w:t xml:space="preserve">attributed </w:t>
      </w:r>
      <w:r w:rsidR="00805B15">
        <w:t xml:space="preserve">to </w:t>
      </w:r>
      <w:r w:rsidR="007C2F7B">
        <w:t>the success</w:t>
      </w:r>
      <w:r w:rsidR="00805B15">
        <w:t>es</w:t>
      </w:r>
      <w:r w:rsidR="007C2F7B">
        <w:t xml:space="preserve"> of senior</w:t>
      </w:r>
      <w:r w:rsidR="00E957C4">
        <w:t xml:space="preserve"> citizen</w:t>
      </w:r>
      <w:r>
        <w:t xml:space="preserve"> interest groups at blocking policy change on many entitlement programs (Pratt 1983, Day 19</w:t>
      </w:r>
      <w:r w:rsidR="00D86812">
        <w:t>9</w:t>
      </w:r>
      <w:r>
        <w:t xml:space="preserve">0). </w:t>
      </w:r>
      <w:r w:rsidR="007C2F7B">
        <w:t>Further, i</w:t>
      </w:r>
      <w:r>
        <w:t xml:space="preserve">t is why the AARP is often </w:t>
      </w:r>
      <w:r w:rsidR="007C2F7B">
        <w:t>disparaged</w:t>
      </w:r>
      <w:r>
        <w:t xml:space="preserve"> as the most powerful lobby in America (</w:t>
      </w:r>
      <w:proofErr w:type="spellStart"/>
      <w:r>
        <w:t>Hornblower</w:t>
      </w:r>
      <w:proofErr w:type="spellEnd"/>
      <w:r>
        <w:t xml:space="preserve"> 1988). </w:t>
      </w:r>
    </w:p>
    <w:p w14:paraId="3F41E718" w14:textId="769145C4" w:rsidR="00805B15" w:rsidRDefault="00C232FF">
      <w:pPr>
        <w:spacing w:line="480" w:lineRule="auto"/>
        <w:jc w:val="left"/>
      </w:pPr>
      <w:r>
        <w:tab/>
        <w:t>However, these constituency-based explanations for senior power ignore</w:t>
      </w:r>
      <w:r w:rsidR="002D79B1">
        <w:t xml:space="preserve"> the potential importance of </w:t>
      </w:r>
      <w:r w:rsidR="00887734">
        <w:t xml:space="preserve">the age-bias among elected members of Congress. As noted in the introduction, </w:t>
      </w:r>
      <w:r w:rsidR="00805B15">
        <w:t>lawmakers tend to be much older than the broader American public, on average, with senior citizens composing roughly one-quarter of the House and half of the Senate in recent congresses. This matters because research has long established that lawmaker</w:t>
      </w:r>
      <w:r w:rsidR="001A6E6E">
        <w:t>s’</w:t>
      </w:r>
      <w:r w:rsidR="00805B15">
        <w:t xml:space="preserve"> identities matter. </w:t>
      </w:r>
      <w:r>
        <w:t>Pitkin (1967) was the first to draw the distinction between descriptive representation</w:t>
      </w:r>
      <w:r w:rsidR="007C2F7B">
        <w:t>—i</w:t>
      </w:r>
      <w:r>
        <w:t xml:space="preserve">n which lawmakers </w:t>
      </w:r>
      <w:r w:rsidR="00A05948">
        <w:t>support</w:t>
      </w:r>
      <w:r>
        <w:t xml:space="preserve"> particular groups because they share a characteristic with the group</w:t>
      </w:r>
      <w:r w:rsidR="007C2F7B">
        <w:t>—</w:t>
      </w:r>
      <w:r>
        <w:t>and substantive representation</w:t>
      </w:r>
      <w:r w:rsidR="007C2F7B">
        <w:t>—i</w:t>
      </w:r>
      <w:r>
        <w:t xml:space="preserve">n which a lawmaker acts on behalf of a group. </w:t>
      </w:r>
      <w:r w:rsidR="001771B9" w:rsidRPr="001771B9">
        <w:t>Many lawmakers have described seeing themselves as this kind of surrogate, and understand it as their role to represent their descriptive groups’ interests. Interview research, in particular, has found this to be true among women and minority lawmakers (</w:t>
      </w:r>
      <w:proofErr w:type="spellStart"/>
      <w:r w:rsidR="001771B9" w:rsidRPr="001771B9">
        <w:t>Reingold</w:t>
      </w:r>
      <w:proofErr w:type="spellEnd"/>
      <w:r w:rsidR="001771B9" w:rsidRPr="001771B9">
        <w:t xml:space="preserve"> 1992; Carroll 2002; </w:t>
      </w:r>
      <w:proofErr w:type="spellStart"/>
      <w:r w:rsidR="001771B9" w:rsidRPr="001771B9">
        <w:t>Hawkesworth</w:t>
      </w:r>
      <w:proofErr w:type="spellEnd"/>
      <w:r w:rsidR="001771B9" w:rsidRPr="001771B9">
        <w:t xml:space="preserve"> 2003; Dodson 2006; Swain 1993; Tate 2003</w:t>
      </w:r>
      <w:r w:rsidR="001771B9">
        <w:t>; Fenno 2003</w:t>
      </w:r>
      <w:r w:rsidR="001771B9" w:rsidRPr="001771B9">
        <w:t>).</w:t>
      </w:r>
    </w:p>
    <w:p w14:paraId="6BF22C4B" w14:textId="0ED649CA" w:rsidR="00805B15" w:rsidRDefault="001771B9">
      <w:pPr>
        <w:spacing w:line="480" w:lineRule="auto"/>
        <w:jc w:val="left"/>
      </w:pPr>
      <w:r>
        <w:tab/>
      </w:r>
      <w:r w:rsidR="00E8200B">
        <w:t>There is a substantial amount of empirical evidence that</w:t>
      </w:r>
      <w:r>
        <w:t xml:space="preserve"> </w:t>
      </w:r>
      <w:r w:rsidR="002D79B1">
        <w:t xml:space="preserve">a </w:t>
      </w:r>
      <w:r>
        <w:t>lawmaker</w:t>
      </w:r>
      <w:r w:rsidR="002D79B1">
        <w:t>’s</w:t>
      </w:r>
      <w:r>
        <w:t xml:space="preserve"> behavior is influenced by </w:t>
      </w:r>
      <w:r w:rsidR="002D79B1">
        <w:t>his or her</w:t>
      </w:r>
      <w:r w:rsidR="002D79B1">
        <w:t xml:space="preserve"> </w:t>
      </w:r>
      <w:r>
        <w:t xml:space="preserve">identities on </w:t>
      </w:r>
      <w:r w:rsidR="002D79B1">
        <w:t>several</w:t>
      </w:r>
      <w:r w:rsidR="002D79B1">
        <w:t xml:space="preserve"> </w:t>
      </w:r>
      <w:r>
        <w:t>dimensions, including race (</w:t>
      </w:r>
      <w:r w:rsidR="00DB7CF6">
        <w:t xml:space="preserve">Bratton 2006; Bratton and </w:t>
      </w:r>
      <w:proofErr w:type="spellStart"/>
      <w:r w:rsidR="00DB7CF6">
        <w:t>Haynie</w:t>
      </w:r>
      <w:proofErr w:type="spellEnd"/>
      <w:r w:rsidR="00DB7CF6">
        <w:t xml:space="preserve"> 1999; </w:t>
      </w:r>
      <w:r w:rsidR="00DB7CF6" w:rsidRPr="003D0C58">
        <w:t>Cameron, E</w:t>
      </w:r>
      <w:r w:rsidR="00DB7CF6">
        <w:t>pstein, and O'Halloran 1996,</w:t>
      </w:r>
      <w:r w:rsidR="00DB7CF6" w:rsidRPr="003D0C58">
        <w:t xml:space="preserve"> 807</w:t>
      </w:r>
      <w:r w:rsidR="00DB7CF6">
        <w:t xml:space="preserve">; Ellis and Wilson 2013; Gamble </w:t>
      </w:r>
      <w:r w:rsidR="00DB7CF6">
        <w:lastRenderedPageBreak/>
        <w:t xml:space="preserve">2007; </w:t>
      </w:r>
      <w:proofErr w:type="spellStart"/>
      <w:r>
        <w:t>Haynie</w:t>
      </w:r>
      <w:proofErr w:type="spellEnd"/>
      <w:r>
        <w:t xml:space="preserve"> 2001; </w:t>
      </w:r>
      <w:r w:rsidR="00DB7CF6">
        <w:t xml:space="preserve">Kerr and Miller 1997; </w:t>
      </w:r>
      <w:proofErr w:type="spellStart"/>
      <w:r>
        <w:t>Minta</w:t>
      </w:r>
      <w:proofErr w:type="spellEnd"/>
      <w:r>
        <w:t xml:space="preserve"> 2009; </w:t>
      </w:r>
      <w:proofErr w:type="spellStart"/>
      <w:r w:rsidR="00DB7CF6">
        <w:t>Preuhs</w:t>
      </w:r>
      <w:proofErr w:type="spellEnd"/>
      <w:r w:rsidR="00DB7CF6">
        <w:t xml:space="preserve"> 2005; Rocca, Sanchez, and </w:t>
      </w:r>
      <w:proofErr w:type="spellStart"/>
      <w:r w:rsidR="00DB7CF6">
        <w:t>Uscinski</w:t>
      </w:r>
      <w:proofErr w:type="spellEnd"/>
      <w:r w:rsidR="00DB7CF6">
        <w:t xml:space="preserve"> 2008; Rouse 2013; </w:t>
      </w:r>
      <w:proofErr w:type="spellStart"/>
      <w:r>
        <w:t>Whitby</w:t>
      </w:r>
      <w:proofErr w:type="spellEnd"/>
      <w:r>
        <w:t xml:space="preserve"> 199</w:t>
      </w:r>
      <w:r w:rsidR="005E16DE">
        <w:t>6</w:t>
      </w:r>
      <w:r>
        <w:t xml:space="preserve">; </w:t>
      </w:r>
      <w:proofErr w:type="spellStart"/>
      <w:r>
        <w:t>Whitby</w:t>
      </w:r>
      <w:proofErr w:type="spellEnd"/>
      <w:r>
        <w:t xml:space="preserve"> and Gilliam 1998; </w:t>
      </w:r>
      <w:proofErr w:type="spellStart"/>
      <w:r>
        <w:t>Whitby</w:t>
      </w:r>
      <w:proofErr w:type="spellEnd"/>
      <w:r>
        <w:t xml:space="preserve"> and Krause 2001; </w:t>
      </w:r>
      <w:r w:rsidR="00DB7CF6">
        <w:t>Wilson 2010</w:t>
      </w:r>
      <w:r>
        <w:t xml:space="preserve">), gender (Dodson 2006; </w:t>
      </w:r>
      <w:r w:rsidR="00DB7CF6">
        <w:t xml:space="preserve">Frederick 2010; </w:t>
      </w:r>
      <w:proofErr w:type="spellStart"/>
      <w:r>
        <w:t>Gerrity</w:t>
      </w:r>
      <w:proofErr w:type="spellEnd"/>
      <w:r>
        <w:t xml:space="preserve"> et al 2007; MacDonald and O’Brien 2010; </w:t>
      </w:r>
      <w:r w:rsidR="00DB7CF6">
        <w:t xml:space="preserve">Norton 1999; </w:t>
      </w:r>
      <w:proofErr w:type="spellStart"/>
      <w:r>
        <w:t>Swers</w:t>
      </w:r>
      <w:proofErr w:type="spellEnd"/>
      <w:r>
        <w:t xml:space="preserve"> </w:t>
      </w:r>
      <w:r w:rsidR="002D79B1">
        <w:t>1998, 2002</w:t>
      </w:r>
      <w:r>
        <w:t xml:space="preserve">; </w:t>
      </w:r>
      <w:proofErr w:type="spellStart"/>
      <w:r>
        <w:t>Tatalovich</w:t>
      </w:r>
      <w:proofErr w:type="spellEnd"/>
      <w:r>
        <w:t xml:space="preserve"> and </w:t>
      </w:r>
      <w:proofErr w:type="spellStart"/>
      <w:r>
        <w:t>Schier</w:t>
      </w:r>
      <w:proofErr w:type="spellEnd"/>
      <w:r>
        <w:t xml:space="preserve"> 1993), socio-economic class (Carnes 2013), and sexual orientation (</w:t>
      </w:r>
      <w:proofErr w:type="spellStart"/>
      <w:r w:rsidR="00DB7CF6">
        <w:t>Haider</w:t>
      </w:r>
      <w:proofErr w:type="spellEnd"/>
      <w:r w:rsidR="00DB7CF6">
        <w:t xml:space="preserve">-Markel 2007; </w:t>
      </w:r>
      <w:r>
        <w:t xml:space="preserve">Herrick 2009; </w:t>
      </w:r>
      <w:proofErr w:type="spellStart"/>
      <w:r>
        <w:t>Mansbridge</w:t>
      </w:r>
      <w:proofErr w:type="spellEnd"/>
      <w:r>
        <w:t xml:space="preserve"> 2003). Black, Hispanic, female, rich, poor, and LGBT lawmakers have been shown to pay more attention to and work harder on issues of impo</w:t>
      </w:r>
      <w:r w:rsidR="005D1801">
        <w:t>rtance to these aspects of their identities, cultivate</w:t>
      </w:r>
      <w:r>
        <w:t xml:space="preserve"> distinct voting records, and act differently in positions of leadership.</w:t>
      </w:r>
    </w:p>
    <w:p w14:paraId="083D427F" w14:textId="7E87800F" w:rsidR="00A95BF0" w:rsidRDefault="00BC207F" w:rsidP="001F0CCB">
      <w:pPr>
        <w:spacing w:line="480" w:lineRule="auto"/>
        <w:jc w:val="left"/>
      </w:pPr>
      <w:r>
        <w:tab/>
        <w:t>We expect the same to be true for a lawmaker’</w:t>
      </w:r>
      <w:r w:rsidR="005D1801">
        <w:t xml:space="preserve">s age as </w:t>
      </w:r>
      <w:r>
        <w:t xml:space="preserve">there are several reasons to believe that older lawmakers may act differently, have different </w:t>
      </w:r>
      <w:r w:rsidR="00E8200B">
        <w:t xml:space="preserve">political </w:t>
      </w:r>
      <w:r>
        <w:t>priorities, and most importantly</w:t>
      </w:r>
      <w:r w:rsidR="005D1801">
        <w:t>,</w:t>
      </w:r>
      <w:r>
        <w:t xml:space="preserve"> be </w:t>
      </w:r>
      <w:r w:rsidR="005D1801">
        <w:t>acutely</w:t>
      </w:r>
      <w:r>
        <w:t xml:space="preserve"> </w:t>
      </w:r>
      <w:r w:rsidR="005D1801">
        <w:t>attentive</w:t>
      </w:r>
      <w:r>
        <w:t xml:space="preserve"> to</w:t>
      </w:r>
      <w:r w:rsidR="005D1801">
        <w:t>ward</w:t>
      </w:r>
      <w:r>
        <w:t xml:space="preserve"> senior issues when compared to younger lawmakers. For one, o</w:t>
      </w:r>
      <w:r w:rsidR="007B5946">
        <w:t>lder Americans</w:t>
      </w:r>
      <w:r w:rsidR="005A72CD">
        <w:t>, including lawmakers,</w:t>
      </w:r>
      <w:r w:rsidR="007B5946">
        <w:t xml:space="preserve"> have a </w:t>
      </w:r>
      <w:r w:rsidR="00D86812">
        <w:t xml:space="preserve">different </w:t>
      </w:r>
      <w:r w:rsidR="007B5946">
        <w:t xml:space="preserve">relationship </w:t>
      </w:r>
      <w:r w:rsidR="00D86812">
        <w:t>with</w:t>
      </w:r>
      <w:r w:rsidR="00BB7512">
        <w:t xml:space="preserve"> </w:t>
      </w:r>
      <w:r w:rsidR="007B5946">
        <w:t>governmental policies and problems</w:t>
      </w:r>
      <w:r w:rsidR="00D86812">
        <w:t xml:space="preserve"> than most other Americans</w:t>
      </w:r>
      <w:r w:rsidR="007B5946">
        <w:t>.</w:t>
      </w:r>
      <w:r w:rsidR="005A72CD">
        <w:t xml:space="preserve"> Most of the government’s social welfare spending is on policies</w:t>
      </w:r>
      <w:r w:rsidR="00A95BF0">
        <w:t xml:space="preserve"> and programs</w:t>
      </w:r>
      <w:r w:rsidR="005A72CD">
        <w:t xml:space="preserve"> important to older Americans, including Social Security, Medicare, pensions, survivors and disability support, and other</w:t>
      </w:r>
      <w:r w:rsidR="00F263FD">
        <w:t xml:space="preserve"> long-term</w:t>
      </w:r>
      <w:r w:rsidR="005A72CD">
        <w:t xml:space="preserve"> medical care</w:t>
      </w:r>
      <w:r w:rsidR="00A05948">
        <w:t xml:space="preserve"> policies</w:t>
      </w:r>
      <w:r w:rsidR="005A72CD">
        <w:t xml:space="preserve">. </w:t>
      </w:r>
      <w:r w:rsidR="00F263FD">
        <w:t>Not</w:t>
      </w:r>
      <w:r w:rsidR="00A95BF0">
        <w:t xml:space="preserve"> only </w:t>
      </w:r>
      <w:r w:rsidR="00A05948">
        <w:t>may</w:t>
      </w:r>
      <w:r w:rsidR="00A95BF0">
        <w:t xml:space="preserve"> </w:t>
      </w:r>
      <w:r w:rsidR="00F263FD">
        <w:t>attachment to</w:t>
      </w:r>
      <w:r w:rsidR="00A95BF0">
        <w:t xml:space="preserve"> these programs </w:t>
      </w:r>
      <w:r w:rsidR="00A05948">
        <w:t>grow</w:t>
      </w:r>
      <w:r w:rsidR="00A95BF0">
        <w:t xml:space="preserve"> with age, but according to Street (1997) </w:t>
      </w:r>
      <w:r w:rsidR="00A05948">
        <w:t>the</w:t>
      </w:r>
      <w:r w:rsidR="00F263FD">
        <w:t xml:space="preserve"> existence of these</w:t>
      </w:r>
      <w:r w:rsidR="00A95BF0">
        <w:t xml:space="preserve"> programs </w:t>
      </w:r>
      <w:r w:rsidR="00A05948">
        <w:t>aids the</w:t>
      </w:r>
      <w:r w:rsidR="00D86812">
        <w:t xml:space="preserve"> very</w:t>
      </w:r>
      <w:r w:rsidR="00A05948">
        <w:t xml:space="preserve"> formation of</w:t>
      </w:r>
      <w:r w:rsidR="00A95BF0">
        <w:t xml:space="preserve"> political cleavages between the old and the young. </w:t>
      </w:r>
      <w:r w:rsidR="00BF0AB7">
        <w:t>Furthermore, senior Americans face a variety of relatively distinct problems, including elder</w:t>
      </w:r>
      <w:r w:rsidR="008C30BB">
        <w:t>ly</w:t>
      </w:r>
      <w:r w:rsidR="00BF0AB7">
        <w:t xml:space="preserve"> abuse, late-li</w:t>
      </w:r>
      <w:r w:rsidR="00F263FD">
        <w:t xml:space="preserve">fe housing, and assisted living </w:t>
      </w:r>
      <w:r w:rsidR="00A05948">
        <w:t xml:space="preserve">and </w:t>
      </w:r>
      <w:r w:rsidR="00F263FD">
        <w:t xml:space="preserve">medical care. Their vulnerability </w:t>
      </w:r>
      <w:r w:rsidR="008E543D">
        <w:t>in facing</w:t>
      </w:r>
      <w:r w:rsidR="00F263FD">
        <w:t xml:space="preserve"> these problems </w:t>
      </w:r>
      <w:r w:rsidR="008E543D">
        <w:t>helps give</w:t>
      </w:r>
      <w:r w:rsidR="00F263FD">
        <w:t xml:space="preserve"> seniors the kind of group consciousness </w:t>
      </w:r>
      <w:r w:rsidR="008E543D">
        <w:t xml:space="preserve">typically </w:t>
      </w:r>
      <w:r w:rsidR="00F263FD">
        <w:t xml:space="preserve">associated with </w:t>
      </w:r>
      <w:r w:rsidR="00BB7512">
        <w:t xml:space="preserve">minorities and the poor (Campbell 2002; Miller, </w:t>
      </w:r>
      <w:proofErr w:type="spellStart"/>
      <w:r w:rsidR="00BB7512">
        <w:t>Gurin</w:t>
      </w:r>
      <w:proofErr w:type="spellEnd"/>
      <w:r w:rsidR="00BB7512">
        <w:t xml:space="preserve">, and </w:t>
      </w:r>
      <w:proofErr w:type="spellStart"/>
      <w:r w:rsidR="00BB7512">
        <w:t>Gurin</w:t>
      </w:r>
      <w:proofErr w:type="spellEnd"/>
      <w:r w:rsidR="00BB7512">
        <w:t xml:space="preserve"> </w:t>
      </w:r>
      <w:r w:rsidR="00BB7512">
        <w:lastRenderedPageBreak/>
        <w:t xml:space="preserve">1980). </w:t>
      </w:r>
      <w:r w:rsidR="00585202">
        <w:t>Ultimately, t</w:t>
      </w:r>
      <w:r w:rsidR="00072715">
        <w:t xml:space="preserve">he distinct group-based relationship seniors have </w:t>
      </w:r>
      <w:r w:rsidR="00585202">
        <w:t>with various governmental programs is likely to influence how older lawmakers approach them.</w:t>
      </w:r>
    </w:p>
    <w:p w14:paraId="312CAE58" w14:textId="3AF3C9B4" w:rsidR="00AA7788" w:rsidRDefault="004817C1" w:rsidP="00C232FF">
      <w:pPr>
        <w:spacing w:line="480" w:lineRule="auto"/>
        <w:jc w:val="left"/>
      </w:pPr>
      <w:r>
        <w:tab/>
      </w:r>
      <w:r w:rsidR="00BC207F">
        <w:t>Second, a</w:t>
      </w:r>
      <w:r>
        <w:t xml:space="preserve">ge </w:t>
      </w:r>
      <w:r w:rsidR="00585202">
        <w:t xml:space="preserve">has been shown to be a stable predictor of political attitudes. </w:t>
      </w:r>
      <w:r w:rsidR="0079617A">
        <w:t xml:space="preserve">Older Americans are generally expected to </w:t>
      </w:r>
      <w:r w:rsidR="008E543D">
        <w:t xml:space="preserve">be </w:t>
      </w:r>
      <w:r w:rsidR="0079617A">
        <w:t>slightly more conservative and Republican than younger Americans.</w:t>
      </w:r>
      <w:r w:rsidR="00AA7788">
        <w:t xml:space="preserve"> Reinforcing </w:t>
      </w:r>
      <w:r w:rsidR="005D1801">
        <w:t xml:space="preserve">these </w:t>
      </w:r>
      <w:r w:rsidR="00AA7788">
        <w:t>age differences are generational differences in political attitudes.</w:t>
      </w:r>
      <w:r w:rsidR="00604CCA">
        <w:t xml:space="preserve"> Different generations often hold different feelings and attachments towards </w:t>
      </w:r>
      <w:r w:rsidR="00AA7788">
        <w:t xml:space="preserve">the </w:t>
      </w:r>
      <w:r w:rsidR="00604CCA">
        <w:t xml:space="preserve">political parties (Abramson 1979) and </w:t>
      </w:r>
      <w:r w:rsidR="00AA7788">
        <w:t xml:space="preserve">generally </w:t>
      </w:r>
      <w:r w:rsidR="00604CCA">
        <w:t xml:space="preserve">hold different attitudes on </w:t>
      </w:r>
      <w:r w:rsidR="00AA7788">
        <w:t xml:space="preserve">a variety of </w:t>
      </w:r>
      <w:r w:rsidR="00604CCA">
        <w:t>political issues (</w:t>
      </w:r>
      <w:proofErr w:type="spellStart"/>
      <w:r w:rsidR="00604CCA">
        <w:t>Alwin</w:t>
      </w:r>
      <w:proofErr w:type="spellEnd"/>
      <w:r w:rsidR="00604CCA">
        <w:t xml:space="preserve"> 1998; </w:t>
      </w:r>
      <w:proofErr w:type="spellStart"/>
      <w:r w:rsidR="00604CCA">
        <w:t>Alwin</w:t>
      </w:r>
      <w:proofErr w:type="spellEnd"/>
      <w:r w:rsidR="00604CCA">
        <w:t xml:space="preserve"> and </w:t>
      </w:r>
      <w:proofErr w:type="spellStart"/>
      <w:r w:rsidR="00604CCA">
        <w:t>Krosnick</w:t>
      </w:r>
      <w:proofErr w:type="spellEnd"/>
      <w:r w:rsidR="00604CCA">
        <w:t xml:space="preserve"> 1991; Jennings and </w:t>
      </w:r>
      <w:proofErr w:type="spellStart"/>
      <w:r w:rsidR="00604CCA">
        <w:t>Niemi</w:t>
      </w:r>
      <w:proofErr w:type="spellEnd"/>
      <w:r w:rsidR="00604CCA">
        <w:t xml:space="preserve"> 1981)</w:t>
      </w:r>
      <w:r w:rsidR="00AA7788">
        <w:t>.</w:t>
      </w:r>
      <w:r w:rsidR="00403317">
        <w:t xml:space="preserve"> Generally, because of the differences in </w:t>
      </w:r>
      <w:r w:rsidR="008E543D">
        <w:t xml:space="preserve">the </w:t>
      </w:r>
      <w:r w:rsidR="00403317">
        <w:t>socialization and life experiences of different generations, people within each often hold different attitudes. This is likely to be as true for lawmakers a</w:t>
      </w:r>
      <w:r w:rsidR="00B63CD5">
        <w:t>s</w:t>
      </w:r>
      <w:r w:rsidR="00403317">
        <w:t xml:space="preserve"> any other citizens.</w:t>
      </w:r>
    </w:p>
    <w:p w14:paraId="6121CA90" w14:textId="63653E1A" w:rsidR="008C30BB" w:rsidRDefault="008400B5" w:rsidP="00C232FF">
      <w:pPr>
        <w:spacing w:line="480" w:lineRule="auto"/>
        <w:jc w:val="left"/>
      </w:pPr>
      <w:r>
        <w:tab/>
      </w:r>
      <w:r w:rsidR="00DB7CF6">
        <w:t>The above suggests we should find that not only does traditional senior power</w:t>
      </w:r>
      <w:r w:rsidR="00761AAA">
        <w:t>,</w:t>
      </w:r>
      <w:r w:rsidR="008C30BB">
        <w:t xml:space="preserve"> </w:t>
      </w:r>
      <w:r w:rsidR="00761AAA">
        <w:t>driven by seniors</w:t>
      </w:r>
      <w:r w:rsidR="00DB7CF6">
        <w:t xml:space="preserve"> in the public</w:t>
      </w:r>
      <w:r w:rsidR="00761AAA">
        <w:t>,</w:t>
      </w:r>
      <w:r w:rsidR="00DB7CF6">
        <w:t xml:space="preserve"> contribute to the attention paid towards “senior issues” in </w:t>
      </w:r>
      <w:r w:rsidR="008C30BB">
        <w:t>American politics</w:t>
      </w:r>
      <w:r w:rsidR="00DB7CF6">
        <w:t xml:space="preserve">, but so </w:t>
      </w:r>
      <w:r w:rsidR="00761AAA">
        <w:t>may</w:t>
      </w:r>
      <w:r w:rsidR="00DB7CF6">
        <w:t xml:space="preserve"> </w:t>
      </w:r>
      <w:r w:rsidR="008C30BB">
        <w:t>the age bias in Congress</w:t>
      </w:r>
      <w:r w:rsidR="00DB7CF6">
        <w:t xml:space="preserve">. </w:t>
      </w:r>
      <w:r w:rsidR="008C30BB">
        <w:t xml:space="preserve">In other words, both the attention paid to many senior issues may be the consequence of both the composition of the participating electorate and the composition of the national legislature. </w:t>
      </w:r>
      <w:r w:rsidR="00DB7CF6">
        <w:t xml:space="preserve">However, these two forces </w:t>
      </w:r>
      <w:r w:rsidR="008C30BB">
        <w:t>may be</w:t>
      </w:r>
      <w:r w:rsidR="00DB7CF6">
        <w:t xml:space="preserve"> influential in different ways</w:t>
      </w:r>
      <w:r w:rsidR="008C30BB">
        <w:t xml:space="preserve"> and on different issues</w:t>
      </w:r>
      <w:r w:rsidR="00DB7CF6">
        <w:t>.</w:t>
      </w:r>
      <w:r w:rsidR="008C30BB">
        <w:t xml:space="preserve"> Namely, the senior power model may explain the attention paid to highly salient senior issues, such as Medicare and other programs providing benefits directly to seniors, while the ages of lawmakers may explain the attention paid to other, lower salience senior issues.</w:t>
      </w:r>
    </w:p>
    <w:p w14:paraId="253A818B" w14:textId="32326E9B" w:rsidR="00D14560" w:rsidRDefault="00DB7CF6" w:rsidP="00B7524F">
      <w:pPr>
        <w:spacing w:line="480" w:lineRule="auto"/>
        <w:ind w:firstLine="720"/>
        <w:jc w:val="left"/>
      </w:pPr>
      <w:r>
        <w:t xml:space="preserve">Several studies have found that </w:t>
      </w:r>
      <w:r w:rsidR="00E3009B">
        <w:t>the influence of seniors in the public</w:t>
      </w:r>
      <w:r w:rsidR="008C30BB">
        <w:t>, and senior interest groups,</w:t>
      </w:r>
      <w:r w:rsidR="00E3009B">
        <w:t xml:space="preserve"> is at its greatest, and the senior power </w:t>
      </w:r>
      <w:r w:rsidR="00761AAA">
        <w:t>model</w:t>
      </w:r>
      <w:r w:rsidR="00E3009B">
        <w:t xml:space="preserve"> is most true, when an issue is particularly salient to seniors. When </w:t>
      </w:r>
      <w:r w:rsidR="008C30BB">
        <w:t>programs</w:t>
      </w:r>
      <w:r w:rsidR="00E3009B">
        <w:t xml:space="preserve"> like Medicare </w:t>
      </w:r>
      <w:r w:rsidR="00761AAA">
        <w:t>are being threatened with change,</w:t>
      </w:r>
      <w:r w:rsidR="00E3009B">
        <w:t xml:space="preserve"> or </w:t>
      </w:r>
      <w:r w:rsidR="00761AAA">
        <w:t>have</w:t>
      </w:r>
      <w:r w:rsidR="00E3009B">
        <w:t xml:space="preserve"> otherwise </w:t>
      </w:r>
      <w:r w:rsidR="00761AAA">
        <w:t>become salient on</w:t>
      </w:r>
      <w:r w:rsidR="00E3009B">
        <w:t xml:space="preserve"> the political agenda</w:t>
      </w:r>
      <w:r w:rsidR="00761AAA">
        <w:t>,</w:t>
      </w:r>
      <w:r w:rsidR="00E3009B">
        <w:t xml:space="preserve"> </w:t>
      </w:r>
      <w:r>
        <w:t xml:space="preserve">older Americans are more likely to mobilize </w:t>
      </w:r>
      <w:r w:rsidR="008C30BB">
        <w:lastRenderedPageBreak/>
        <w:t>and</w:t>
      </w:r>
      <w:r>
        <w:t xml:space="preserve"> </w:t>
      </w:r>
      <w:r w:rsidR="00E3009B">
        <w:t xml:space="preserve">try to </w:t>
      </w:r>
      <w:r w:rsidR="00761AAA">
        <w:t>leverage</w:t>
      </w:r>
      <w:r>
        <w:t xml:space="preserve"> their collective power to influence policy (</w:t>
      </w:r>
      <w:proofErr w:type="spellStart"/>
      <w:r>
        <w:t>Andel</w:t>
      </w:r>
      <w:proofErr w:type="spellEnd"/>
      <w:r>
        <w:t xml:space="preserve"> and Liebig 2002; Anderson and Anderson 1978; </w:t>
      </w:r>
      <w:proofErr w:type="spellStart"/>
      <w:r>
        <w:t>Streib</w:t>
      </w:r>
      <w:proofErr w:type="spellEnd"/>
      <w:r>
        <w:t xml:space="preserve">, </w:t>
      </w:r>
      <w:proofErr w:type="spellStart"/>
      <w:r>
        <w:t>Folts</w:t>
      </w:r>
      <w:proofErr w:type="spellEnd"/>
      <w:r>
        <w:t xml:space="preserve">, and </w:t>
      </w:r>
      <w:proofErr w:type="spellStart"/>
      <w:r>
        <w:t>LeGreca</w:t>
      </w:r>
      <w:proofErr w:type="spellEnd"/>
      <w:r>
        <w:t xml:space="preserve"> 1985; Campbell 2002, 2003, 2005; Jennings and Markus 1988).</w:t>
      </w:r>
      <w:r w:rsidR="00E3009B">
        <w:t xml:space="preserve"> </w:t>
      </w:r>
    </w:p>
    <w:p w14:paraId="2CC8073A" w14:textId="56ECC748" w:rsidR="00041F98" w:rsidRDefault="00E3009B" w:rsidP="00B7524F">
      <w:pPr>
        <w:spacing w:line="480" w:lineRule="auto"/>
        <w:ind w:firstLine="720"/>
        <w:jc w:val="left"/>
      </w:pPr>
      <w:r>
        <w:t xml:space="preserve">Similarly, there is substantial evidence that lawmakers are most responsive and attentive to their constituencies, and groups within it, when an issue is particularly salient. Lawmakers are always responsive to their constituents (e.g., Mayhew 1974; </w:t>
      </w:r>
      <w:proofErr w:type="spellStart"/>
      <w:r>
        <w:t>Fenno</w:t>
      </w:r>
      <w:proofErr w:type="spellEnd"/>
      <w:r>
        <w:t xml:space="preserve"> 1978; </w:t>
      </w:r>
      <w:proofErr w:type="spellStart"/>
      <w:r>
        <w:t>Kingdon</w:t>
      </w:r>
      <w:proofErr w:type="spellEnd"/>
      <w:r>
        <w:t xml:space="preserve"> 1989; Grimmer 2013). But there is evidence that lawmakers become even more attentive to groups within their district when an issue important to that group becomes political salient (Hayes and </w:t>
      </w:r>
      <w:proofErr w:type="spellStart"/>
      <w:r>
        <w:t>Bishin</w:t>
      </w:r>
      <w:proofErr w:type="spellEnd"/>
      <w:r>
        <w:t xml:space="preserve"> 2012</w:t>
      </w:r>
      <w:r w:rsidR="00D14560">
        <w:t xml:space="preserve">) and </w:t>
      </w:r>
      <w:r>
        <w:t>are more likely to introduce legislation that is particularly salient to their districts (Laz</w:t>
      </w:r>
      <w:r w:rsidR="003F3B0C">
        <w:t>a</w:t>
      </w:r>
      <w:r>
        <w:t>rus 2013</w:t>
      </w:r>
      <w:r w:rsidR="00D14560">
        <w:t>).</w:t>
      </w:r>
      <w:r w:rsidR="00761AAA">
        <w:t xml:space="preserve"> </w:t>
      </w:r>
      <w:r w:rsidR="00041F98">
        <w:t xml:space="preserve">Generally, </w:t>
      </w:r>
      <w:r w:rsidR="003F3B0C">
        <w:t xml:space="preserve">on </w:t>
      </w:r>
      <w:r w:rsidR="00041F98">
        <w:t>issues that mobilize seniors in the public it is likely that lawmakers with large senior constituencies will feel pressure to take action to support and promote the issues their seniors are talking about, regardless of the lawmaker’s age.</w:t>
      </w:r>
    </w:p>
    <w:p w14:paraId="1EEE9DE8" w14:textId="44D40D87" w:rsidR="004B6277" w:rsidRDefault="00761AAA" w:rsidP="00C232FF">
      <w:pPr>
        <w:spacing w:line="480" w:lineRule="auto"/>
        <w:jc w:val="left"/>
      </w:pPr>
      <w:r>
        <w:tab/>
        <w:t>However, this leaves room for age-descriptive representation to play a role on low-salient senior issues. While seniors in the public may not be as effectively mobilized on less s</w:t>
      </w:r>
      <w:r w:rsidR="009D39DE">
        <w:t xml:space="preserve">alient senior issues, and consequently while lawmakers may not be as influenced by seniors in their districts on these issues, older lawmakers, by virtual of their identities, should still be attentive and sensitive to </w:t>
      </w:r>
      <w:r w:rsidR="004B6277">
        <w:t>these other senior</w:t>
      </w:r>
      <w:r w:rsidR="009D39DE">
        <w:t xml:space="preserve"> issues, and their behavior</w:t>
      </w:r>
      <w:r w:rsidR="00A074FB">
        <w:t>s</w:t>
      </w:r>
      <w:r w:rsidR="009D39DE">
        <w:t xml:space="preserve"> should still be </w:t>
      </w:r>
      <w:r w:rsidR="005E42F8">
        <w:t>a</w:t>
      </w:r>
      <w:r w:rsidR="009D39DE">
        <w:t xml:space="preserve">ffected. </w:t>
      </w:r>
      <w:r w:rsidR="004B6277">
        <w:t>Generally, older lawmakers will be attentive toward and work to promote and support less salient senior issues regardless of the size of the senior constituency in their districts.</w:t>
      </w:r>
    </w:p>
    <w:p w14:paraId="4296457F" w14:textId="25E1151A" w:rsidR="00BC207F" w:rsidRDefault="009D39DE" w:rsidP="00C232FF">
      <w:pPr>
        <w:spacing w:line="480" w:lineRule="auto"/>
        <w:jc w:val="left"/>
      </w:pPr>
      <w:r>
        <w:tab/>
        <w:t>Ultimately, we have several hypotheses to test regarding the relationship between a lawmaker’s age and their legislative behavior. As discussed and justified below, we focus on the bills lawmaker</w:t>
      </w:r>
      <w:r w:rsidR="006A7345">
        <w:t>s</w:t>
      </w:r>
      <w:r>
        <w:t xml:space="preserve"> introduce as evidence of </w:t>
      </w:r>
      <w:r w:rsidR="004B6277">
        <w:t>the attention and importance they place on</w:t>
      </w:r>
      <w:r>
        <w:t xml:space="preserve"> senior </w:t>
      </w:r>
      <w:r>
        <w:lastRenderedPageBreak/>
        <w:t>issues. Our first two hypotheses can be understood as</w:t>
      </w:r>
      <w:r w:rsidR="004B6277">
        <w:t xml:space="preserve"> straightforward,</w:t>
      </w:r>
      <w:r>
        <w:t xml:space="preserve"> unqualified tests of age-descriptive representation and the senior power model</w:t>
      </w:r>
      <w:r w:rsidR="004B6277">
        <w:t xml:space="preserve"> that do not take into account the salience of different senior issues</w:t>
      </w:r>
      <w:r>
        <w:t xml:space="preserve">. </w:t>
      </w:r>
    </w:p>
    <w:p w14:paraId="3974DB3C" w14:textId="2D365404" w:rsidR="009D39DE" w:rsidRDefault="009D39DE" w:rsidP="00B7524F">
      <w:pPr>
        <w:ind w:left="720"/>
        <w:jc w:val="left"/>
      </w:pPr>
      <w:r>
        <w:t>H1: Older lawmakers are more likely to introduce legislation addressing a senior issue than younger lawmakers.</w:t>
      </w:r>
    </w:p>
    <w:p w14:paraId="3792A859" w14:textId="77777777" w:rsidR="009D39DE" w:rsidRDefault="009D39DE" w:rsidP="00B7524F">
      <w:pPr>
        <w:ind w:left="720"/>
        <w:jc w:val="left"/>
      </w:pPr>
    </w:p>
    <w:p w14:paraId="3B404F7D" w14:textId="013A68AF" w:rsidR="009D39DE" w:rsidRDefault="009D39DE" w:rsidP="00B7524F">
      <w:pPr>
        <w:ind w:left="720"/>
        <w:jc w:val="left"/>
      </w:pPr>
      <w:r>
        <w:t>H2: Lawmakers with larger senior constituencies are more likely to introduce legislation addressing a senior issue than lawmakers with smaller senior constituencies.</w:t>
      </w:r>
    </w:p>
    <w:p w14:paraId="53F607AB" w14:textId="77777777" w:rsidR="009D39DE" w:rsidRDefault="009D39DE" w:rsidP="00B7524F">
      <w:pPr>
        <w:jc w:val="left"/>
      </w:pPr>
    </w:p>
    <w:p w14:paraId="7868ECD6" w14:textId="77777777" w:rsidR="003A6EDF" w:rsidRDefault="003A6EDF" w:rsidP="00403317">
      <w:pPr>
        <w:spacing w:line="480" w:lineRule="auto"/>
        <w:jc w:val="left"/>
      </w:pPr>
      <w:r>
        <w:t>The second two hypotheses recognize that the salience of a senior issue may influence when constituency matters and when a lawmaker’s identity matters.</w:t>
      </w:r>
    </w:p>
    <w:p w14:paraId="3B20F18A" w14:textId="77777777" w:rsidR="003A6EDF" w:rsidRDefault="003A6EDF" w:rsidP="00B7524F">
      <w:pPr>
        <w:ind w:left="720"/>
        <w:jc w:val="left"/>
      </w:pPr>
      <w:r>
        <w:t xml:space="preserve">H3: Older lawmakers are more likely to introduce legislation addressing </w:t>
      </w:r>
      <w:r>
        <w:rPr>
          <w:i/>
        </w:rPr>
        <w:t>low-salience</w:t>
      </w:r>
      <w:r>
        <w:t xml:space="preserve"> senior issues than younger lawmakers.</w:t>
      </w:r>
    </w:p>
    <w:p w14:paraId="6C3A4DBF" w14:textId="77777777" w:rsidR="003A6EDF" w:rsidRDefault="003A6EDF" w:rsidP="00B7524F">
      <w:pPr>
        <w:ind w:left="720"/>
        <w:jc w:val="left"/>
      </w:pPr>
    </w:p>
    <w:p w14:paraId="42BB99AA" w14:textId="2FE067C8" w:rsidR="003A6EDF" w:rsidRDefault="003A6EDF" w:rsidP="00B7524F">
      <w:pPr>
        <w:ind w:left="720"/>
        <w:jc w:val="left"/>
      </w:pPr>
      <w:r>
        <w:t xml:space="preserve">H4: </w:t>
      </w:r>
      <w:r w:rsidRPr="003A6EDF">
        <w:t>Lawmakers with larger senior constituencies are more likely to introduce</w:t>
      </w:r>
      <w:r>
        <w:t xml:space="preserve"> </w:t>
      </w:r>
      <w:r w:rsidRPr="003A6EDF">
        <w:t xml:space="preserve">legislation addressing </w:t>
      </w:r>
      <w:r>
        <w:rPr>
          <w:i/>
        </w:rPr>
        <w:t>high-</w:t>
      </w:r>
      <w:r w:rsidRPr="003A6EDF">
        <w:rPr>
          <w:i/>
        </w:rPr>
        <w:t>salience</w:t>
      </w:r>
      <w:r>
        <w:t xml:space="preserve"> </w:t>
      </w:r>
      <w:r w:rsidRPr="003A6EDF">
        <w:t>senior issue</w:t>
      </w:r>
      <w:r>
        <w:t>s</w:t>
      </w:r>
      <w:r w:rsidRPr="003A6EDF">
        <w:t xml:space="preserve"> than lawmakers with smaller senior constituencies.</w:t>
      </w:r>
      <w:r>
        <w:t xml:space="preserve"> </w:t>
      </w:r>
      <w:r w:rsidR="00403317">
        <w:tab/>
      </w:r>
    </w:p>
    <w:p w14:paraId="6BD37960" w14:textId="77777777" w:rsidR="004B6277" w:rsidRDefault="003A6EDF" w:rsidP="00B7524F">
      <w:pPr>
        <w:spacing w:line="480" w:lineRule="auto"/>
        <w:jc w:val="left"/>
      </w:pPr>
      <w:r>
        <w:t>The next section describes how these hypotheses are tested.</w:t>
      </w:r>
    </w:p>
    <w:p w14:paraId="224B106D" w14:textId="48D9F4FC" w:rsidR="00685DF2" w:rsidRDefault="00685DF2" w:rsidP="00A02176">
      <w:pPr>
        <w:spacing w:line="480" w:lineRule="auto"/>
      </w:pPr>
      <w:r>
        <w:rPr>
          <w:b/>
        </w:rPr>
        <w:t>Data and Methods</w:t>
      </w:r>
    </w:p>
    <w:p w14:paraId="34C1ED28" w14:textId="69030298" w:rsidR="00195A98" w:rsidRDefault="00685DF2">
      <w:pPr>
        <w:spacing w:line="480" w:lineRule="auto"/>
        <w:jc w:val="left"/>
      </w:pPr>
      <w:r>
        <w:t xml:space="preserve">To test these hypotheses we employ a dataset of all bills introduced </w:t>
      </w:r>
      <w:r w:rsidR="00143B2E">
        <w:t>in</w:t>
      </w:r>
      <w:r>
        <w:t xml:space="preserve"> the House of Representatives during the 109th and 110th congresses</w:t>
      </w:r>
      <w:r w:rsidR="00143B2E">
        <w:t xml:space="preserve"> as compiled by the Congressional Bills Project (CBP)</w:t>
      </w:r>
      <w:r>
        <w:t>.</w:t>
      </w:r>
      <w:r w:rsidR="00143B2E">
        <w:rPr>
          <w:rStyle w:val="EndnoteReference"/>
        </w:rPr>
        <w:endnoteReference w:id="2"/>
      </w:r>
      <w:r>
        <w:t xml:space="preserve"> </w:t>
      </w:r>
      <w:r w:rsidR="00195A98">
        <w:t xml:space="preserve">Members are not required to draft or introduce legislation. When they do, they have the freedom to introduce legislation on whatever </w:t>
      </w:r>
      <w:r w:rsidR="00143B2E">
        <w:t xml:space="preserve">topics </w:t>
      </w:r>
      <w:r w:rsidR="00195A98">
        <w:t xml:space="preserve">they please. The bills a lawmaker </w:t>
      </w:r>
      <w:r w:rsidR="00A02176">
        <w:t xml:space="preserve">introduces </w:t>
      </w:r>
      <w:r w:rsidR="00195A98">
        <w:t xml:space="preserve">indicate </w:t>
      </w:r>
      <w:r w:rsidR="00A02176">
        <w:t xml:space="preserve">which </w:t>
      </w:r>
      <w:r w:rsidR="00195A98">
        <w:t xml:space="preserve">issues they care about (Schiller 1995; </w:t>
      </w:r>
      <w:proofErr w:type="spellStart"/>
      <w:r w:rsidR="003B1D83">
        <w:t>Wawro</w:t>
      </w:r>
      <w:proofErr w:type="spellEnd"/>
      <w:r w:rsidR="003B1D83">
        <w:t xml:space="preserve"> 2001</w:t>
      </w:r>
      <w:r w:rsidR="00195A98">
        <w:t>), what positions they hold on those issues (Rocca and Gordon 2010), and what signals they would like to send to constituent groups (Mayhew 1974). Generally</w:t>
      </w:r>
      <w:r w:rsidR="00143B2E">
        <w:t>,</w:t>
      </w:r>
      <w:r w:rsidR="00195A98">
        <w:t xml:space="preserve"> if a lawmaker introduces a bill on an issue it is a good indicator that th</w:t>
      </w:r>
      <w:r w:rsidR="00B63CD5">
        <w:t>e</w:t>
      </w:r>
      <w:r w:rsidR="00195A98">
        <w:t xml:space="preserve"> issue is an important part of their legislative portfolio and their legislative identity. For these reasons, bill sponsorship </w:t>
      </w:r>
      <w:r w:rsidR="003B1D83">
        <w:t>is</w:t>
      </w:r>
      <w:r w:rsidR="00195A98">
        <w:t xml:space="preserve"> a common way of assessing how descr</w:t>
      </w:r>
      <w:r w:rsidR="00BA2E4B">
        <w:t xml:space="preserve">iptive </w:t>
      </w:r>
      <w:r w:rsidR="00BA2E4B">
        <w:lastRenderedPageBreak/>
        <w:t>representation influence</w:t>
      </w:r>
      <w:r w:rsidR="00195A98">
        <w:t>s lawmakers</w:t>
      </w:r>
      <w:r w:rsidR="00BA2E4B">
        <w:t>’</w:t>
      </w:r>
      <w:r w:rsidR="00195A98">
        <w:t xml:space="preserve"> legislative priorities (e.g., </w:t>
      </w:r>
      <w:proofErr w:type="spellStart"/>
      <w:r w:rsidR="00BA2E4B">
        <w:t>Haynie</w:t>
      </w:r>
      <w:proofErr w:type="spellEnd"/>
      <w:r w:rsidR="00BA2E4B">
        <w:t xml:space="preserve"> 2001; </w:t>
      </w:r>
      <w:r w:rsidR="00BA2E4B">
        <w:rPr>
          <w:rFonts w:cs="Times New Roman"/>
        </w:rPr>
        <w:t xml:space="preserve">Bratton and </w:t>
      </w:r>
      <w:proofErr w:type="spellStart"/>
      <w:r w:rsidR="00BA2E4B">
        <w:rPr>
          <w:rFonts w:cs="Times New Roman"/>
        </w:rPr>
        <w:t>Haynie</w:t>
      </w:r>
      <w:proofErr w:type="spellEnd"/>
      <w:r w:rsidR="00BA2E4B">
        <w:rPr>
          <w:rFonts w:cs="Times New Roman"/>
        </w:rPr>
        <w:t xml:space="preserve"> 1999; </w:t>
      </w:r>
      <w:r w:rsidR="00C178F1">
        <w:rPr>
          <w:rFonts w:cs="Times New Roman"/>
        </w:rPr>
        <w:t xml:space="preserve">Bratton 2006; Wilson 2010; </w:t>
      </w:r>
      <w:proofErr w:type="spellStart"/>
      <w:r w:rsidR="00C178F1">
        <w:rPr>
          <w:rFonts w:cs="Times New Roman"/>
        </w:rPr>
        <w:t>Swers</w:t>
      </w:r>
      <w:proofErr w:type="spellEnd"/>
      <w:r w:rsidR="00C178F1">
        <w:rPr>
          <w:rFonts w:cs="Times New Roman"/>
        </w:rPr>
        <w:t xml:space="preserve"> 2002</w:t>
      </w:r>
      <w:r w:rsidR="00195A98">
        <w:t>)</w:t>
      </w:r>
      <w:r w:rsidR="00C178F1">
        <w:t>.</w:t>
      </w:r>
    </w:p>
    <w:p w14:paraId="0EB3DCEB" w14:textId="15B1B53B" w:rsidR="00FB319A" w:rsidRDefault="00FB319A" w:rsidP="00447CFD">
      <w:pPr>
        <w:spacing w:line="480" w:lineRule="auto"/>
        <w:jc w:val="left"/>
      </w:pPr>
      <w:r>
        <w:tab/>
        <w:t xml:space="preserve">The 109th and 110th congresses are advantageous for testing our hypotheses. These years include variation in party control of the House (the 109th was Republican controlled and the 110th was Democratic controlled) and divided and unified government (the 109th was unified and the 110th was divided). </w:t>
      </w:r>
      <w:r w:rsidR="00143B2E">
        <w:t>There was also substantial turnover between the 109th and 110</w:t>
      </w:r>
      <w:r w:rsidR="00143B2E" w:rsidRPr="00096678">
        <w:rPr>
          <w:vertAlign w:val="superscript"/>
        </w:rPr>
        <w:t>th</w:t>
      </w:r>
      <w:r w:rsidR="00143B2E">
        <w:t xml:space="preserve"> congresses, allowing us to test our hypotheses on a larger population of lawmakers than would be the case for many other pairs of congresses.</w:t>
      </w:r>
    </w:p>
    <w:p w14:paraId="252EDE7E" w14:textId="3C573D5F" w:rsidR="00FB319A" w:rsidRDefault="00FB319A" w:rsidP="00447CFD">
      <w:pPr>
        <w:spacing w:line="480" w:lineRule="auto"/>
        <w:jc w:val="left"/>
      </w:pPr>
      <w:r>
        <w:tab/>
        <w:t xml:space="preserve">The dependent variable for our analyses is whether or not any bill in the dataset is a “senior bill.” Determining what </w:t>
      </w:r>
      <w:r w:rsidR="003B1D83">
        <w:t>is and is not a senior bill is</w:t>
      </w:r>
      <w:r>
        <w:t xml:space="preserve"> challenging. Our operational definition </w:t>
      </w:r>
      <w:r w:rsidR="00340722">
        <w:t>of a senior bill is any bill that</w:t>
      </w:r>
      <w:r w:rsidR="007B29CE">
        <w:t xml:space="preserve"> is primarily focused on</w:t>
      </w:r>
      <w:r w:rsidR="00340722">
        <w:t xml:space="preserve"> address</w:t>
      </w:r>
      <w:r w:rsidR="00B63CD5">
        <w:t>ing</w:t>
      </w:r>
      <w:r w:rsidR="00340722">
        <w:t xml:space="preserve"> policies or programs that overwhelming </w:t>
      </w:r>
      <w:r w:rsidR="003B1D83">
        <w:t>affect</w:t>
      </w:r>
      <w:r w:rsidR="00340722">
        <w:t xml:space="preserve"> or</w:t>
      </w:r>
      <w:r w:rsidR="003B1D83">
        <w:t xml:space="preserve"> are</w:t>
      </w:r>
      <w:r w:rsidR="00340722">
        <w:t xml:space="preserve"> salient for American seniors. </w:t>
      </w:r>
      <w:r w:rsidR="00143B2E">
        <w:t xml:space="preserve">The data from the </w:t>
      </w:r>
      <w:r w:rsidR="00A03130">
        <w:t xml:space="preserve">Congressional Bills Project (CPB) </w:t>
      </w:r>
      <w:r w:rsidR="00143B2E">
        <w:t>codes every bill for issue content</w:t>
      </w:r>
      <w:r w:rsidR="00A03130">
        <w:t xml:space="preserve"> using the </w:t>
      </w:r>
      <w:r w:rsidR="00500B08">
        <w:t xml:space="preserve">Policy Agendas Project’s (PAP) </w:t>
      </w:r>
      <w:r w:rsidR="00A03130">
        <w:t>codebook</w:t>
      </w:r>
      <w:r w:rsidR="00500B08">
        <w:t>.</w:t>
      </w:r>
      <w:r w:rsidR="00500B08">
        <w:rPr>
          <w:rStyle w:val="EndnoteReference"/>
        </w:rPr>
        <w:endnoteReference w:id="3"/>
      </w:r>
      <w:r w:rsidR="00500B08">
        <w:t xml:space="preserve"> </w:t>
      </w:r>
      <w:r w:rsidR="0001105F">
        <w:t xml:space="preserve">The </w:t>
      </w:r>
      <w:r w:rsidR="00500B08">
        <w:t xml:space="preserve">PAP </w:t>
      </w:r>
      <w:r w:rsidR="0001105F">
        <w:t>codes</w:t>
      </w:r>
      <w:r w:rsidR="00500B08">
        <w:t xml:space="preserve"> policy issues into </w:t>
      </w:r>
      <w:r w:rsidR="00107ACB">
        <w:t>220</w:t>
      </w:r>
      <w:r w:rsidR="00107ACB">
        <w:t xml:space="preserve"> </w:t>
      </w:r>
      <w:r w:rsidR="00500B08">
        <w:t xml:space="preserve">issue topics nested within </w:t>
      </w:r>
      <w:r w:rsidR="00107ACB">
        <w:t>20</w:t>
      </w:r>
      <w:r w:rsidR="00107ACB">
        <w:t xml:space="preserve"> </w:t>
      </w:r>
      <w:r w:rsidR="00500B08">
        <w:t xml:space="preserve">broader issue areas. </w:t>
      </w:r>
      <w:r w:rsidR="0001105F">
        <w:t>To determine which issues and bills were “senior” we f</w:t>
      </w:r>
      <w:r w:rsidR="00500B08">
        <w:t>irst looked through the</w:t>
      </w:r>
      <w:r w:rsidR="0001105F">
        <w:t xml:space="preserve"> descriptions of the</w:t>
      </w:r>
      <w:r w:rsidR="00500B08">
        <w:t xml:space="preserve"> </w:t>
      </w:r>
      <w:r w:rsidR="00107ACB">
        <w:t>220</w:t>
      </w:r>
      <w:r w:rsidR="00107ACB">
        <w:t xml:space="preserve"> </w:t>
      </w:r>
      <w:r w:rsidR="00500B08">
        <w:t>topics to determine which were clearly and overwhelmingly focused on issues important to seniors. Three topics stood out: topic 204 (“Age Discrimination”), topic 1303 (“</w:t>
      </w:r>
      <w:r w:rsidR="00500B08" w:rsidRPr="00500B08">
        <w:t xml:space="preserve">Elderly Issues </w:t>
      </w:r>
      <w:r w:rsidR="00500B08">
        <w:t>and Elderly Assistance Programs”), and topic 1408 (“Elderly and H</w:t>
      </w:r>
      <w:r w:rsidR="0001105F">
        <w:t xml:space="preserve">andicapped Housing”). All bills </w:t>
      </w:r>
      <w:r w:rsidR="00500B08">
        <w:t>addressing any of these three topics were counted as senior bills. In addition</w:t>
      </w:r>
      <w:r w:rsidR="0001105F">
        <w:t>,</w:t>
      </w:r>
      <w:r w:rsidR="00500B08">
        <w:t xml:space="preserve"> we identified 20 more topics that </w:t>
      </w:r>
      <w:r w:rsidR="0001105F">
        <w:t xml:space="preserve">we determined </w:t>
      </w:r>
      <w:r w:rsidR="00500B08">
        <w:t>might include issues</w:t>
      </w:r>
      <w:r w:rsidR="0001105F">
        <w:t xml:space="preserve"> and bills</w:t>
      </w:r>
      <w:r w:rsidR="00500B08">
        <w:t xml:space="preserve"> important to seniors.</w:t>
      </w:r>
      <w:r w:rsidR="007B29CE">
        <w:t xml:space="preserve"> </w:t>
      </w:r>
      <w:r w:rsidR="00500B08">
        <w:t>To determine which bills within these topics s</w:t>
      </w:r>
      <w:r w:rsidR="0001105F">
        <w:t>hould count</w:t>
      </w:r>
      <w:r w:rsidR="00500B08">
        <w:t>, we worked as separate coders</w:t>
      </w:r>
      <w:r w:rsidR="0001105F">
        <w:t xml:space="preserve"> to read</w:t>
      </w:r>
      <w:r w:rsidR="00500B08">
        <w:t xml:space="preserve"> the title and a summary of each bill and </w:t>
      </w:r>
      <w:r w:rsidR="0001105F">
        <w:t>coded each</w:t>
      </w:r>
      <w:r w:rsidR="00500B08">
        <w:t xml:space="preserve"> as a senior bill or not. With the coding done separately we could be confident in the bills we both identified as senior bills, and </w:t>
      </w:r>
      <w:r w:rsidR="00500B08">
        <w:lastRenderedPageBreak/>
        <w:t>then discuss the discrepancies. In total, 463 of the 13,</w:t>
      </w:r>
      <w:r w:rsidR="00F63399">
        <w:t>600</w:t>
      </w:r>
      <w:r w:rsidR="00500B08">
        <w:t xml:space="preserve"> bills</w:t>
      </w:r>
      <w:r w:rsidR="00F63399">
        <w:rPr>
          <w:rStyle w:val="EndnoteReference"/>
        </w:rPr>
        <w:endnoteReference w:id="4"/>
      </w:r>
      <w:r w:rsidR="00500B08">
        <w:t xml:space="preserve"> introduced in the House during the 109th and 110th congresses were determined to be </w:t>
      </w:r>
      <w:r w:rsidR="007B29CE">
        <w:t>senior bills.</w:t>
      </w:r>
      <w:r w:rsidR="007B29CE">
        <w:rPr>
          <w:rStyle w:val="EndnoteReference"/>
        </w:rPr>
        <w:endnoteReference w:id="5"/>
      </w:r>
      <w:r w:rsidR="007B29CE">
        <w:t xml:space="preserve"> Table </w:t>
      </w:r>
      <w:r w:rsidR="00111C4E">
        <w:t>1</w:t>
      </w:r>
      <w:r w:rsidR="007B29CE">
        <w:t xml:space="preserve"> summarizes these bills by issue topic.</w:t>
      </w:r>
    </w:p>
    <w:p w14:paraId="121A4751" w14:textId="77777777" w:rsidR="00CD72AA" w:rsidRDefault="00CD72AA" w:rsidP="00CD72AA">
      <w:pPr>
        <w:spacing w:line="480" w:lineRule="auto"/>
      </w:pPr>
      <w:r>
        <w:t>[TABLE 1 about here]</w:t>
      </w:r>
    </w:p>
    <w:p w14:paraId="152EA31A" w14:textId="79DA3E00" w:rsidR="00B3107B" w:rsidRDefault="00B3107B" w:rsidP="00096678">
      <w:pPr>
        <w:spacing w:line="480" w:lineRule="auto"/>
        <w:jc w:val="left"/>
      </w:pPr>
      <w:r>
        <w:tab/>
        <w:t xml:space="preserve">The primary independent variable used to test both hypotheses is simply the age of each bill’s sponsor at the time it was introduced. This measure ranges from 30 to 85 and it </w:t>
      </w:r>
      <w:r w:rsidR="0001105F">
        <w:t xml:space="preserve">is </w:t>
      </w:r>
      <w:r>
        <w:t>normally distributed. To test the second</w:t>
      </w:r>
      <w:r w:rsidR="00143B2E">
        <w:t xml:space="preserve"> and third</w:t>
      </w:r>
      <w:r>
        <w:t xml:space="preserve"> hypothes</w:t>
      </w:r>
      <w:r w:rsidR="00143B2E">
        <w:t>e</w:t>
      </w:r>
      <w:r>
        <w:t xml:space="preserve">s, </w:t>
      </w:r>
      <w:r w:rsidR="00143B2E">
        <w:t>the</w:t>
      </w:r>
      <w:r>
        <w:t xml:space="preserve"> salience</w:t>
      </w:r>
      <w:r w:rsidR="00143B2E">
        <w:t xml:space="preserve"> of each bill’s issue topic</w:t>
      </w:r>
      <w:r w:rsidR="0001105F">
        <w:t xml:space="preserve"> needed to be measured</w:t>
      </w:r>
      <w:r>
        <w:t xml:space="preserve">. We use data on the issue content of articles published in the </w:t>
      </w:r>
      <w:r>
        <w:rPr>
          <w:i/>
        </w:rPr>
        <w:t>New York Times</w:t>
      </w:r>
      <w:r>
        <w:t xml:space="preserve"> during the 109th and 110th congresses, collected by the PAP</w:t>
      </w:r>
      <w:r w:rsidR="00143B2E">
        <w:t>,</w:t>
      </w:r>
      <w:r>
        <w:t xml:space="preserve"> to create </w:t>
      </w:r>
      <w:r w:rsidR="0001105F">
        <w:t>such a</w:t>
      </w:r>
      <w:r>
        <w:t xml:space="preserve"> measure. The PAP codes a random sample of every article published in the </w:t>
      </w:r>
      <w:r>
        <w:rPr>
          <w:i/>
        </w:rPr>
        <w:t>New York Times</w:t>
      </w:r>
      <w:r>
        <w:t xml:space="preserve"> each year by its </w:t>
      </w:r>
      <w:r w:rsidR="00107ACB">
        <w:t>20</w:t>
      </w:r>
      <w:r w:rsidR="00107ACB">
        <w:t xml:space="preserve"> </w:t>
      </w:r>
      <w:r>
        <w:t xml:space="preserve">issue areas. Our measure is the count of articles each bill’s issue area received. Using this measure we </w:t>
      </w:r>
      <w:r w:rsidR="0001105F">
        <w:t xml:space="preserve">are able to </w:t>
      </w:r>
      <w:r>
        <w:t xml:space="preserve">split the </w:t>
      </w:r>
      <w:r w:rsidR="0001105F">
        <w:t>dataset of bills</w:t>
      </w:r>
      <w:r>
        <w:t xml:space="preserve"> into </w:t>
      </w:r>
      <w:r w:rsidR="0001105F">
        <w:t xml:space="preserve">those of relatively high salience (above the median of the variable) and low salience (below the median). This allows us to determine </w:t>
      </w:r>
      <w:r>
        <w:t>if the relationship between a lawmaker’s age and their</w:t>
      </w:r>
      <w:r w:rsidR="0001105F">
        <w:t xml:space="preserve"> senior</w:t>
      </w:r>
      <w:r>
        <w:t xml:space="preserve"> bill sponsorship behavior is conditioned by the salience of different </w:t>
      </w:r>
      <w:r w:rsidR="0001105F">
        <w:t xml:space="preserve">senior </w:t>
      </w:r>
      <w:r>
        <w:t>issues.</w:t>
      </w:r>
      <w:r w:rsidR="002B06BA">
        <w:t xml:space="preserve"> Table 2 summarizes the issue topics coded </w:t>
      </w:r>
      <w:r w:rsidR="00986CFC">
        <w:t xml:space="preserve">as </w:t>
      </w:r>
      <w:r w:rsidR="002B06BA">
        <w:t>high-salience and low-salience for each Congress.</w:t>
      </w:r>
      <w:r w:rsidR="00436F96">
        <w:t xml:space="preserve"> As shown, in both congresses, senior bills that address health care and family issues are coded as high-salience, while senior bills addressing a variety of other topics including Social Security, education, and housing are coded as low-salience.</w:t>
      </w:r>
    </w:p>
    <w:p w14:paraId="3933EA85" w14:textId="77777777" w:rsidR="002B06BA" w:rsidRDefault="002B06BA" w:rsidP="002B06BA">
      <w:pPr>
        <w:spacing w:line="480" w:lineRule="auto"/>
      </w:pPr>
      <w:r>
        <w:t>[TABLE 2 about here]</w:t>
      </w:r>
    </w:p>
    <w:p w14:paraId="17B8D480" w14:textId="77777777" w:rsidR="00BA0DBE" w:rsidRDefault="00BA0DBE" w:rsidP="00517E48">
      <w:pPr>
        <w:spacing w:line="480" w:lineRule="auto"/>
        <w:ind w:firstLine="720"/>
        <w:jc w:val="left"/>
      </w:pPr>
      <w:r>
        <w:t>To test the third hypothesis, we also need measures of size, and thus potential influence, of seniors in each lawmaker’s district. We use three measures for this purpose.</w:t>
      </w:r>
      <w:r w:rsidR="0001105F">
        <w:t xml:space="preserve"> First</w:t>
      </w:r>
      <w:r w:rsidR="006D3136">
        <w:t xml:space="preserve"> </w:t>
      </w:r>
      <w:r w:rsidR="0001105F">
        <w:t xml:space="preserve">is </w:t>
      </w:r>
      <w:r w:rsidR="006D3136">
        <w:t xml:space="preserve">the percent of each sponsor’s district population that is over 65 years of age. </w:t>
      </w:r>
      <w:r w:rsidR="0001105F">
        <w:t>Second is</w:t>
      </w:r>
      <w:r w:rsidR="006D3136">
        <w:t xml:space="preserve"> the total </w:t>
      </w:r>
      <w:r w:rsidR="006D3136">
        <w:lastRenderedPageBreak/>
        <w:t>amount spent on Social Sec</w:t>
      </w:r>
      <w:r w:rsidR="0001105F">
        <w:t xml:space="preserve">urity benefits in each </w:t>
      </w:r>
      <w:proofErr w:type="gramStart"/>
      <w:r w:rsidR="0001105F">
        <w:t>district</w:t>
      </w:r>
      <w:r w:rsidR="006D3136">
        <w:t>.</w:t>
      </w:r>
      <w:proofErr w:type="gramEnd"/>
      <w:r w:rsidR="006D3136">
        <w:t xml:space="preserve"> For the analyses the natural log of this variable is calculated as it has an extreme right skew. </w:t>
      </w:r>
      <w:r w:rsidR="0001105F">
        <w:t>Third is</w:t>
      </w:r>
      <w:r w:rsidR="006D3136">
        <w:t xml:space="preserve"> the number of Medicare beneficiaries in each lawmaker’s state. Lawmakers from states with more Medicare beneficiaries </w:t>
      </w:r>
      <w:r w:rsidR="000438C0">
        <w:t>should be attuned to issues related to Medicare and similar programs</w:t>
      </w:r>
      <w:r w:rsidR="00447CFD">
        <w:t>.</w:t>
      </w:r>
      <w:r w:rsidR="00447CFD">
        <w:rPr>
          <w:rStyle w:val="EndnoteReference"/>
        </w:rPr>
        <w:endnoteReference w:id="6"/>
      </w:r>
      <w:r w:rsidR="00447CFD">
        <w:t xml:space="preserve"> </w:t>
      </w:r>
      <w:r>
        <w:t>If the third hypothesis is correct lawmakers with more significant senior constituencies should be more likely to introduce bills addressing high-salience issues, regardless of their age.</w:t>
      </w:r>
    </w:p>
    <w:p w14:paraId="28BCE05C" w14:textId="5D82610A" w:rsidR="00447CFD" w:rsidRDefault="00447CFD" w:rsidP="00151AF9">
      <w:pPr>
        <w:spacing w:line="480" w:lineRule="auto"/>
        <w:ind w:firstLine="720"/>
        <w:jc w:val="left"/>
      </w:pPr>
      <w:r>
        <w:t xml:space="preserve">We also </w:t>
      </w:r>
      <w:r w:rsidR="00BA0DBE">
        <w:t xml:space="preserve">measured </w:t>
      </w:r>
      <w:r>
        <w:t>several other factors about each lawmaker that may</w:t>
      </w:r>
      <w:r w:rsidR="00BA0DBE">
        <w:t xml:space="preserve"> have</w:t>
      </w:r>
      <w:r>
        <w:t xml:space="preserve"> influence</w:t>
      </w:r>
      <w:r w:rsidR="00BA0DBE">
        <w:t>d</w:t>
      </w:r>
      <w:r>
        <w:t xml:space="preserve"> their sponsorship behavior. First is a measure of whether or not a lawmaker was in the majority during each Congress. Lawmakers in the majority </w:t>
      </w:r>
      <w:r w:rsidR="000438C0">
        <w:t>are often more active in</w:t>
      </w:r>
      <w:r>
        <w:t xml:space="preserve"> introducing legislation </w:t>
      </w:r>
      <w:r w:rsidR="000438C0">
        <w:t>because</w:t>
      </w:r>
      <w:r>
        <w:t xml:space="preserve"> </w:t>
      </w:r>
      <w:r w:rsidR="000438C0">
        <w:t>their bills have</w:t>
      </w:r>
      <w:r>
        <w:t xml:space="preserve"> a better chance of </w:t>
      </w:r>
      <w:r w:rsidR="000438C0">
        <w:t>becoming law</w:t>
      </w:r>
      <w:r>
        <w:t xml:space="preserve"> (</w:t>
      </w:r>
      <w:r w:rsidR="003A7A74" w:rsidRPr="003A7A74">
        <w:t>Anderson, Box-</w:t>
      </w:r>
      <w:proofErr w:type="spellStart"/>
      <w:r w:rsidR="003A7A74" w:rsidRPr="003A7A74">
        <w:t>Steffensmeier</w:t>
      </w:r>
      <w:proofErr w:type="spellEnd"/>
      <w:r w:rsidR="003A7A74" w:rsidRPr="003A7A74">
        <w:t>, and Sinclair 2003; Cox and Terry 2008</w:t>
      </w:r>
      <w:r>
        <w:t xml:space="preserve">). Second is each lawmaker’s first dimension DW-NOMINATE score. DW-NOMINATE is often used as a measure of lawmaker ideologies, but at the very least indicates whether a lawmaker is </w:t>
      </w:r>
      <w:r w:rsidR="00BA0DBE">
        <w:t>within the more</w:t>
      </w:r>
      <w:r>
        <w:t xml:space="preserve"> moderate or extreme </w:t>
      </w:r>
      <w:r w:rsidR="00BA0DBE">
        <w:t xml:space="preserve">wing </w:t>
      </w:r>
      <w:r>
        <w:t xml:space="preserve">of their party. This </w:t>
      </w:r>
      <w:r w:rsidR="000438C0">
        <w:t>variable</w:t>
      </w:r>
      <w:r>
        <w:t xml:space="preserve"> is included in case a lawmaker’s “ideology” has an impact on their orientation towards senior issues. Third, dummy variables are included </w:t>
      </w:r>
      <w:r w:rsidR="000438C0">
        <w:t>that indicate</w:t>
      </w:r>
      <w:r>
        <w:t xml:space="preserve"> if a member held a seat on the Judiciary, Ways and Means, or Energy and Commerce committees. </w:t>
      </w:r>
      <w:r w:rsidR="00BA0DBE">
        <w:t xml:space="preserve">Committee membership is a strong predictor of which issues lawmakers are likely to put effort towards (Fenno 1973; </w:t>
      </w:r>
      <w:r w:rsidR="00D86812">
        <w:t>Deering and Smith 1997</w:t>
      </w:r>
      <w:r w:rsidR="00BA0DBE">
        <w:t xml:space="preserve">). </w:t>
      </w:r>
      <w:r>
        <w:t xml:space="preserve">Most bills addressing senior issues would be routed through </w:t>
      </w:r>
      <w:r w:rsidR="00BA0DBE">
        <w:t>one</w:t>
      </w:r>
      <w:r>
        <w:t xml:space="preserve"> of these committees. As such, lawmakers sponsoring senior bills should be more likely to be on one of these committees</w:t>
      </w:r>
      <w:r w:rsidR="00151AF9">
        <w:t>.</w:t>
      </w:r>
    </w:p>
    <w:p w14:paraId="70F7E330" w14:textId="77777777" w:rsidR="00447CFD" w:rsidRDefault="00447CFD" w:rsidP="00791CEE">
      <w:pPr>
        <w:spacing w:line="480" w:lineRule="auto"/>
      </w:pPr>
      <w:r>
        <w:rPr>
          <w:b/>
        </w:rPr>
        <w:t>Results</w:t>
      </w:r>
    </w:p>
    <w:p w14:paraId="70D3AA5C" w14:textId="5BC8453A" w:rsidR="00E00986" w:rsidRDefault="00447CFD" w:rsidP="00791CEE">
      <w:pPr>
        <w:spacing w:line="480" w:lineRule="auto"/>
        <w:jc w:val="left"/>
      </w:pPr>
      <w:r>
        <w:t>To test our hypotheses, three logistic regression analyses were conducted</w:t>
      </w:r>
      <w:r w:rsidR="00E00986">
        <w:t xml:space="preserve"> using the data described above</w:t>
      </w:r>
      <w:r>
        <w:t>.</w:t>
      </w:r>
      <w:r w:rsidR="00D86812">
        <w:rPr>
          <w:rStyle w:val="EndnoteReference"/>
        </w:rPr>
        <w:endnoteReference w:id="7"/>
      </w:r>
      <w:r>
        <w:t xml:space="preserve"> The first </w:t>
      </w:r>
      <w:r w:rsidR="00E00986">
        <w:t xml:space="preserve">includes all 13,600 bills and assesses whether a lawmaker’s age </w:t>
      </w:r>
      <w:r w:rsidR="00E00986">
        <w:lastRenderedPageBreak/>
        <w:t>influences the likelihood that they sponsor</w:t>
      </w:r>
      <w:r w:rsidR="000438C0">
        <w:t>ed a</w:t>
      </w:r>
      <w:r w:rsidR="00E00986">
        <w:t xml:space="preserve"> senior bill. This is a st</w:t>
      </w:r>
      <w:r w:rsidR="000438C0">
        <w:t>raight</w:t>
      </w:r>
      <w:r w:rsidR="00E00986">
        <w:t>forwar</w:t>
      </w:r>
      <w:r w:rsidR="00276C8E">
        <w:t>d test of the first hypothesis</w:t>
      </w:r>
      <w:r w:rsidR="00E00986">
        <w:t xml:space="preserve">. The second two analyses split the dataset of bills into those above the median of the </w:t>
      </w:r>
      <w:r w:rsidR="00E00986" w:rsidRPr="00E00986">
        <w:t>salience</w:t>
      </w:r>
      <w:r w:rsidR="00E00986">
        <w:t xml:space="preserve"> measure (high</w:t>
      </w:r>
      <w:r w:rsidR="00FA1489">
        <w:t>-</w:t>
      </w:r>
      <w:r w:rsidR="00E00986">
        <w:t>salience) and those below it (low</w:t>
      </w:r>
      <w:r w:rsidR="00FA1489">
        <w:t>-</w:t>
      </w:r>
      <w:r w:rsidR="00E00986">
        <w:t xml:space="preserve">salience). Bills </w:t>
      </w:r>
      <w:r w:rsidR="00BA0DBE">
        <w:t xml:space="preserve">coded as having </w:t>
      </w:r>
      <w:r w:rsidR="00E00986">
        <w:t>the median</w:t>
      </w:r>
      <w:r w:rsidR="00BA0DBE">
        <w:t xml:space="preserve"> value</w:t>
      </w:r>
      <w:r w:rsidR="00E00986">
        <w:t xml:space="preserve"> of the measure were included in the high</w:t>
      </w:r>
      <w:r w:rsidR="00BA0DBE">
        <w:t>-</w:t>
      </w:r>
      <w:r w:rsidR="00E00986">
        <w:t xml:space="preserve">salience group. The analyses were replicated </w:t>
      </w:r>
      <w:r w:rsidR="00BA0DBE">
        <w:t xml:space="preserve">including </w:t>
      </w:r>
      <w:r w:rsidR="00E00986">
        <w:t xml:space="preserve">that set of bills </w:t>
      </w:r>
      <w:r w:rsidR="00276C8E">
        <w:t>among</w:t>
      </w:r>
      <w:r w:rsidR="00E00986">
        <w:t xml:space="preserve"> the low</w:t>
      </w:r>
      <w:r w:rsidR="00BA0DBE">
        <w:t>-</w:t>
      </w:r>
      <w:r w:rsidR="00E00986">
        <w:t xml:space="preserve">salience group </w:t>
      </w:r>
      <w:r w:rsidR="00276C8E">
        <w:t>as well</w:t>
      </w:r>
      <w:r w:rsidR="00BA0DBE">
        <w:t>,</w:t>
      </w:r>
      <w:r w:rsidR="00E00986">
        <w:t xml:space="preserve"> and the results were neither substantively nor statistically different.</w:t>
      </w:r>
    </w:p>
    <w:p w14:paraId="033B8A6E" w14:textId="7BF07DA3" w:rsidR="00E00986" w:rsidRDefault="00E00986" w:rsidP="00791CEE">
      <w:pPr>
        <w:spacing w:line="480" w:lineRule="auto"/>
        <w:jc w:val="left"/>
      </w:pPr>
      <w:r>
        <w:tab/>
        <w:t xml:space="preserve">Table </w:t>
      </w:r>
      <w:r w:rsidR="00E3111A">
        <w:t>3</w:t>
      </w:r>
      <w:r>
        <w:t xml:space="preserve"> shows the results of all three analyses. </w:t>
      </w:r>
      <w:r w:rsidR="00CD72AA">
        <w:t xml:space="preserve">The analysis in the first column </w:t>
      </w:r>
      <w:r w:rsidR="009B2693">
        <w:t>includes</w:t>
      </w:r>
      <w:r w:rsidR="00CD72AA">
        <w:t xml:space="preserve"> all bills. As clearly s</w:t>
      </w:r>
      <w:r w:rsidR="009B2693">
        <w:t>hown, when looking at all bills</w:t>
      </w:r>
      <w:r w:rsidR="00CD72AA">
        <w:t xml:space="preserve"> the age of a lawmaker does not have a significant impact on their likelihood of introducing a senior bill. The sponsor age variable is insignificant and its impact is small. </w:t>
      </w:r>
      <w:r w:rsidR="009B2693">
        <w:t>However, also n</w:t>
      </w:r>
      <w:r w:rsidR="00CD72AA">
        <w:t xml:space="preserve">otable </w:t>
      </w:r>
      <w:r w:rsidR="009B2693">
        <w:t>in</w:t>
      </w:r>
      <w:r w:rsidR="00CD72AA">
        <w:t xml:space="preserve"> the results is that constituency characteristics </w:t>
      </w:r>
      <w:r w:rsidR="009B2693">
        <w:t xml:space="preserve">also </w:t>
      </w:r>
      <w:r w:rsidR="00CD72AA">
        <w:t>do not matter</w:t>
      </w:r>
      <w:r w:rsidR="009B2693">
        <w:t>. None of the three measures—</w:t>
      </w:r>
      <w:r w:rsidR="00CD72AA">
        <w:t xml:space="preserve">the percent of a lawmaker’s district over 65 years of age, the amount of spending on Social Security benefits in the district, or the number of </w:t>
      </w:r>
      <w:r w:rsidR="009B2693">
        <w:t>Medicare enrollees in the state—</w:t>
      </w:r>
      <w:r w:rsidR="00CD72AA">
        <w:t xml:space="preserve">have a significant impact on the likelihood </w:t>
      </w:r>
      <w:r w:rsidR="009B2693">
        <w:t xml:space="preserve">that </w:t>
      </w:r>
      <w:r w:rsidR="00CD72AA">
        <w:t xml:space="preserve">a lawmaker sponsors a senior bill. These null findings hint that there is more </w:t>
      </w:r>
      <w:proofErr w:type="gramStart"/>
      <w:r w:rsidR="00C846F8">
        <w:t>nuance</w:t>
      </w:r>
      <w:proofErr w:type="gramEnd"/>
      <w:r w:rsidR="00C846F8">
        <w:t xml:space="preserve"> </w:t>
      </w:r>
      <w:r w:rsidR="00CD72AA">
        <w:t>to the relationship among lawmaker age, constituency pressures, and bill sponsorship.</w:t>
      </w:r>
    </w:p>
    <w:p w14:paraId="1E3A4CF2" w14:textId="77777777" w:rsidR="00CD72AA" w:rsidRDefault="00E3111A" w:rsidP="00CD72AA">
      <w:pPr>
        <w:spacing w:line="480" w:lineRule="auto"/>
      </w:pPr>
      <w:r>
        <w:t>[TABLE 3</w:t>
      </w:r>
      <w:r w:rsidR="00CD72AA">
        <w:t xml:space="preserve"> about here]</w:t>
      </w:r>
    </w:p>
    <w:p w14:paraId="3DA68F1F" w14:textId="5B6874B5" w:rsidR="00CD72AA" w:rsidRDefault="00CD72AA" w:rsidP="00C846F8">
      <w:pPr>
        <w:spacing w:line="480" w:lineRule="auto"/>
        <w:jc w:val="left"/>
      </w:pPr>
      <w:r>
        <w:tab/>
      </w:r>
      <w:r w:rsidR="00C846F8">
        <w:t xml:space="preserve">The second and third columns of Table </w:t>
      </w:r>
      <w:r w:rsidR="00E3111A">
        <w:t>3</w:t>
      </w:r>
      <w:r w:rsidR="00C846F8">
        <w:t xml:space="preserve"> split the analysis into bills coded as high-salience and those coded as low-salience</w:t>
      </w:r>
      <w:r w:rsidR="00FA1489">
        <w:t xml:space="preserve"> in order to evaluate hypotheses 2 and 3</w:t>
      </w:r>
      <w:r w:rsidR="00C846F8">
        <w:t xml:space="preserve">. The results demonstrate that the influence of a lawmaker’s age and constituency on their attention to senior issues varies by </w:t>
      </w:r>
      <w:r w:rsidR="00FA1489">
        <w:t>issue salience</w:t>
      </w:r>
      <w:r w:rsidR="00C846F8">
        <w:t xml:space="preserve">. The results of the analysis in column 2, specifically, are for bills with saliences above the median. The results show that while a lawmaker’s age does not have a significant influence, the percentage of </w:t>
      </w:r>
      <w:r w:rsidR="00FC0A72">
        <w:t>a lawmaker’s</w:t>
      </w:r>
      <w:r w:rsidR="00C846F8">
        <w:t xml:space="preserve"> constituency over the age of 65 has a strong impact. As shown in Figure 1, </w:t>
      </w:r>
      <w:r w:rsidR="00AB369E">
        <w:t xml:space="preserve">the likelihood that a lawmaker introduces a high-salience senior </w:t>
      </w:r>
      <w:r w:rsidR="00AB369E">
        <w:lastRenderedPageBreak/>
        <w:t xml:space="preserve">bill increases substantially as </w:t>
      </w:r>
      <w:r w:rsidR="00FC0A72">
        <w:t xml:space="preserve">this portion of their constituency increases in size. </w:t>
      </w:r>
      <w:r w:rsidR="006A71EC">
        <w:t>L</w:t>
      </w:r>
      <w:r w:rsidR="00AB369E">
        <w:t>awmaker</w:t>
      </w:r>
      <w:r w:rsidR="006A71EC">
        <w:t>s</w:t>
      </w:r>
      <w:r w:rsidR="00AB369E">
        <w:t xml:space="preserve"> with a senior constituency </w:t>
      </w:r>
      <w:r w:rsidR="00FC0A72">
        <w:t xml:space="preserve">size </w:t>
      </w:r>
      <w:r w:rsidR="00AB369E">
        <w:t xml:space="preserve">one standard-deviation above the mean (about 21%) are almost twice as likely to introduce such </w:t>
      </w:r>
      <w:r w:rsidR="006A71EC">
        <w:t>bills</w:t>
      </w:r>
      <w:r w:rsidR="00AB369E">
        <w:t xml:space="preserve"> than lawmaker</w:t>
      </w:r>
      <w:r w:rsidR="006A71EC">
        <w:t>s</w:t>
      </w:r>
      <w:r w:rsidR="00AB369E">
        <w:t xml:space="preserve"> with a senior constituency</w:t>
      </w:r>
      <w:r w:rsidR="00FC0A72">
        <w:t xml:space="preserve"> size</w:t>
      </w:r>
      <w:r w:rsidR="00AB369E">
        <w:t xml:space="preserve"> one standard deviation below the mean (about 11%). These results support the </w:t>
      </w:r>
      <w:r w:rsidR="00FC0A72">
        <w:t xml:space="preserve">general findings of the senior power thesis: </w:t>
      </w:r>
      <w:r w:rsidR="00AB369E">
        <w:t>American seniors, when motivated and mobilized, can influence the behavior of their lawmakers</w:t>
      </w:r>
      <w:r w:rsidR="00FC0A72">
        <w:t xml:space="preserve"> and focus their attention on senior issues</w:t>
      </w:r>
      <w:r w:rsidR="00AB369E">
        <w:t>.</w:t>
      </w:r>
      <w:r w:rsidR="006A71EC">
        <w:t xml:space="preserve"> They also support hypothesis 3.</w:t>
      </w:r>
    </w:p>
    <w:p w14:paraId="39CD7360" w14:textId="77777777" w:rsidR="007D38A9" w:rsidRDefault="007D38A9" w:rsidP="00096678">
      <w:pPr>
        <w:spacing w:line="480" w:lineRule="auto"/>
      </w:pPr>
      <w:r>
        <w:t>[FIGURE 1 about here]</w:t>
      </w:r>
    </w:p>
    <w:p w14:paraId="19CFFEEC" w14:textId="423E80A9" w:rsidR="00AB369E" w:rsidRDefault="00AB369E" w:rsidP="00C846F8">
      <w:pPr>
        <w:spacing w:line="480" w:lineRule="auto"/>
        <w:jc w:val="left"/>
      </w:pPr>
      <w:r>
        <w:tab/>
      </w:r>
      <w:r w:rsidR="00FC0A72">
        <w:t>In</w:t>
      </w:r>
      <w:r>
        <w:t xml:space="preserve"> contrast, the results in column 3 </w:t>
      </w:r>
      <w:r w:rsidR="00FC0A72">
        <w:t>show</w:t>
      </w:r>
      <w:r>
        <w:t xml:space="preserve"> that when it comes to low-salience bills, it is the age of the lawmaker that is important</w:t>
      </w:r>
      <w:r w:rsidR="00FC0A72">
        <w:t xml:space="preserve"> rather than the constituency</w:t>
      </w:r>
      <w:r>
        <w:t xml:space="preserve">. In this analysis, the age of the lawmaker is positive and statistically significant. The older </w:t>
      </w:r>
      <w:r w:rsidR="00FC0A72">
        <w:t>a</w:t>
      </w:r>
      <w:r>
        <w:t xml:space="preserve"> lawmaker, the more likely </w:t>
      </w:r>
      <w:r w:rsidR="00FC0A72">
        <w:t>he or she is</w:t>
      </w:r>
      <w:r>
        <w:t xml:space="preserve"> to introduce a bill addressing a low-salience senior bill. As show</w:t>
      </w:r>
      <w:r w:rsidR="00D305B7">
        <w:t>n</w:t>
      </w:r>
      <w:r>
        <w:t xml:space="preserve"> in Figure 2, the likelihood </w:t>
      </w:r>
      <w:r w:rsidR="00FC0A72">
        <w:t xml:space="preserve">that </w:t>
      </w:r>
      <w:r>
        <w:t xml:space="preserve">a lawmaker takes such an action increases </w:t>
      </w:r>
      <w:r w:rsidR="006A71EC">
        <w:t xml:space="preserve">meaningfully </w:t>
      </w:r>
      <w:r>
        <w:t>with age</w:t>
      </w:r>
      <w:r w:rsidR="00FC0A72">
        <w:t>,</w:t>
      </w:r>
      <w:r>
        <w:t xml:space="preserve"> </w:t>
      </w:r>
      <w:r w:rsidR="00FC0A72">
        <w:t>as</w:t>
      </w:r>
      <w:r>
        <w:t xml:space="preserve"> the oldest lawmakers</w:t>
      </w:r>
      <w:r w:rsidR="00FC0A72">
        <w:t>, on average,</w:t>
      </w:r>
      <w:r>
        <w:t xml:space="preserve"> </w:t>
      </w:r>
      <w:r w:rsidR="00FC0A72">
        <w:t xml:space="preserve">are </w:t>
      </w:r>
      <w:r w:rsidR="008E6808">
        <w:t>almost four times more likely to introduce a senior b</w:t>
      </w:r>
      <w:r w:rsidR="00FC0A72">
        <w:t>ill than the youngest lawmakers</w:t>
      </w:r>
      <w:r w:rsidR="008E6808">
        <w:t>. More conventionally, a 62 year old lawmaker (one standard-deviation above the mean of age) is 67% more likely than a 48 year old lawmaker (on</w:t>
      </w:r>
      <w:r w:rsidR="00FC0A72">
        <w:t>e</w:t>
      </w:r>
      <w:r w:rsidR="008E6808">
        <w:t xml:space="preserve"> standard-deviation below the mean) to introduce such a bill. Notably, constituency characteristics have less explanatory value for low-salience bills. The percent of a lawmaker’s district over 65 does not impact their behavior, </w:t>
      </w:r>
      <w:r w:rsidR="00FC0A72">
        <w:t>nor</w:t>
      </w:r>
      <w:r w:rsidR="008E6808">
        <w:t xml:space="preserve"> does the amount spent on Social Security benefits in their district. Only the number of Medicare enrollees in </w:t>
      </w:r>
      <w:r w:rsidR="00FC0A72">
        <w:t>a lawmaker’s</w:t>
      </w:r>
      <w:r w:rsidR="008E6808">
        <w:t xml:space="preserve"> state has any effect, but it is a small effect.</w:t>
      </w:r>
    </w:p>
    <w:p w14:paraId="5B735D6E" w14:textId="77777777" w:rsidR="008E6808" w:rsidRDefault="008E6808" w:rsidP="00E31499">
      <w:pPr>
        <w:spacing w:line="480" w:lineRule="auto"/>
      </w:pPr>
      <w:r>
        <w:t>[FIGURE 2 about here]</w:t>
      </w:r>
    </w:p>
    <w:p w14:paraId="73D4198D" w14:textId="77777777" w:rsidR="00111C4E" w:rsidRDefault="006955E8" w:rsidP="00E31499">
      <w:pPr>
        <w:spacing w:line="480" w:lineRule="auto"/>
        <w:jc w:val="left"/>
      </w:pPr>
      <w:r>
        <w:tab/>
        <w:t xml:space="preserve">These findings </w:t>
      </w:r>
      <w:r w:rsidR="00E31499">
        <w:t>compelling</w:t>
      </w:r>
      <w:r w:rsidR="006A71EC">
        <w:t>ly</w:t>
      </w:r>
      <w:r w:rsidR="00E31499">
        <w:t xml:space="preserve"> demonstrate the importance of issue context</w:t>
      </w:r>
      <w:r w:rsidR="006A71EC">
        <w:t>s</w:t>
      </w:r>
      <w:r w:rsidR="00E31499">
        <w:t xml:space="preserve"> for the relationship among a lawmaker’s age, their senior constituency, and their behavior regarding the introduction of senior bills. It appears the senior power thesis holds weight where highly-salient </w:t>
      </w:r>
      <w:r w:rsidR="00E31499">
        <w:lastRenderedPageBreak/>
        <w:t xml:space="preserve">senior issues are concerned. On these issues, senior citizens are likely motivated and mobilized to put pressure on their representatives. In these instances the campaigns organized by interest groups such as the AARP likely result in impressive mobilization, putting clear pressure on lawmakers to act, regardless of their age. However, on less-salient issues the identities of lawmakers play a bigger role. On these issues, older lawmakers are attentive, even without significant constituency pressure. Their identities </w:t>
      </w:r>
      <w:r w:rsidR="009409AC">
        <w:t xml:space="preserve">drive </w:t>
      </w:r>
      <w:r w:rsidR="00E31499">
        <w:t>their behavior. This is the very essence of descriptive representation.</w:t>
      </w:r>
    </w:p>
    <w:p w14:paraId="2AE53933" w14:textId="77777777" w:rsidR="00E31499" w:rsidRDefault="00E31499" w:rsidP="00E31499">
      <w:pPr>
        <w:spacing w:line="480" w:lineRule="auto"/>
        <w:jc w:val="left"/>
      </w:pPr>
      <w:r>
        <w:tab/>
      </w:r>
      <w:r w:rsidR="00124475">
        <w:t>One other aspect of our analyses is worth noting</w:t>
      </w:r>
      <w:r>
        <w:t>.</w:t>
      </w:r>
      <w:r w:rsidR="00124475">
        <w:t xml:space="preserve"> I</w:t>
      </w:r>
      <w:r>
        <w:t xml:space="preserve">n figures 1 and 2, </w:t>
      </w:r>
      <w:r w:rsidR="00C41887">
        <w:t xml:space="preserve">it is clear from the size of the standard errors that there is a great deal of variation in the effects of </w:t>
      </w:r>
      <w:r w:rsidR="00044F06">
        <w:t xml:space="preserve">very </w:t>
      </w:r>
      <w:r w:rsidR="00C41887">
        <w:t xml:space="preserve">senior constituencies and in the behavior of </w:t>
      </w:r>
      <w:r w:rsidR="00044F06">
        <w:t xml:space="preserve">the oldest </w:t>
      </w:r>
      <w:r w:rsidR="00C41887">
        <w:t>lawmakers. For instance, in Figure</w:t>
      </w:r>
      <w:r w:rsidR="00044F06">
        <w:t xml:space="preserve"> 2</w:t>
      </w:r>
      <w:r w:rsidR="00C41887">
        <w:t xml:space="preserve">, the standard errors indicate that while some of the most elderly lawmakers focus a great deal of attention on senior issues, some pay very little attention. This variation is clearly driven by factors not analyzed in this study, </w:t>
      </w:r>
      <w:r w:rsidR="00044F06">
        <w:t xml:space="preserve">and </w:t>
      </w:r>
      <w:r w:rsidR="00C41887">
        <w:t>should be explored in more depth.</w:t>
      </w:r>
    </w:p>
    <w:p w14:paraId="36D0207C" w14:textId="77777777" w:rsidR="004B1C1D" w:rsidRDefault="004B1C1D" w:rsidP="004B1C1D">
      <w:pPr>
        <w:spacing w:line="480" w:lineRule="auto"/>
      </w:pPr>
      <w:r>
        <w:rPr>
          <w:b/>
        </w:rPr>
        <w:t>Conclusions</w:t>
      </w:r>
    </w:p>
    <w:p w14:paraId="697B0F68" w14:textId="014D1B1C" w:rsidR="00044F06" w:rsidRDefault="007D1705" w:rsidP="004B1C1D">
      <w:pPr>
        <w:spacing w:line="480" w:lineRule="auto"/>
        <w:jc w:val="left"/>
      </w:pPr>
      <w:r>
        <w:t xml:space="preserve">A host of previous research </w:t>
      </w:r>
      <w:r w:rsidR="008F6491">
        <w:t>shows</w:t>
      </w:r>
      <w:r>
        <w:t xml:space="preserve"> lawmakers</w:t>
      </w:r>
      <w:r w:rsidR="00B64811">
        <w:t>’</w:t>
      </w:r>
      <w:r>
        <w:t xml:space="preserve"> identities matter for the</w:t>
      </w:r>
      <w:r w:rsidR="00B64811">
        <w:t>ir</w:t>
      </w:r>
      <w:r>
        <w:t xml:space="preserve"> representational behavior, especially regarding their race, gender, socioeconomic class, and sexual orientation. In this paper, we begin to demonstrate that a lawmaker’s age is also important in this regard. Older lawmakers</w:t>
      </w:r>
      <w:r w:rsidR="001C20F1">
        <w:t xml:space="preserve"> are more likely </w:t>
      </w:r>
      <w:r w:rsidR="00172B08">
        <w:t>to focus their bill sponsorship</w:t>
      </w:r>
      <w:r w:rsidR="001C20F1">
        <w:t xml:space="preserve"> behavior on certain senior issues, primarily those that are less salient with the public. </w:t>
      </w:r>
      <w:r w:rsidR="00517E48">
        <w:t>On high</w:t>
      </w:r>
      <w:r w:rsidR="00172B08">
        <w:t>ly salient senior bills it is</w:t>
      </w:r>
      <w:r w:rsidR="00517E48">
        <w:t xml:space="preserve"> lawmakers</w:t>
      </w:r>
      <w:r w:rsidR="00172B08">
        <w:t>’</w:t>
      </w:r>
      <w:r w:rsidR="00517E48">
        <w:t xml:space="preserve"> </w:t>
      </w:r>
      <w:r w:rsidR="00172B08">
        <w:t>constituencies</w:t>
      </w:r>
      <w:r w:rsidR="00517E48">
        <w:t>, rather than their identi</w:t>
      </w:r>
      <w:r w:rsidR="00172B08">
        <w:t>ties,</w:t>
      </w:r>
      <w:r w:rsidR="00517E48">
        <w:t xml:space="preserve"> </w:t>
      </w:r>
      <w:r w:rsidR="00172B08">
        <w:t>that drive</w:t>
      </w:r>
      <w:r w:rsidR="00517E48">
        <w:t xml:space="preserve"> their attention to senior issues. </w:t>
      </w:r>
    </w:p>
    <w:p w14:paraId="310B0B3C" w14:textId="5FCD5A61" w:rsidR="00517E48" w:rsidRDefault="00517E48" w:rsidP="004B1C1D">
      <w:pPr>
        <w:spacing w:line="480" w:lineRule="auto"/>
        <w:jc w:val="left"/>
      </w:pPr>
      <w:r>
        <w:tab/>
        <w:t>These findings regarding saliency add a new wrinkle to our understanding of descriptive representation</w:t>
      </w:r>
      <w:r w:rsidR="00172B08">
        <w:t>, broadly conceived</w:t>
      </w:r>
      <w:r>
        <w:t xml:space="preserve">. </w:t>
      </w:r>
      <w:r w:rsidR="003C7B23">
        <w:t xml:space="preserve">Beyond seniors, issues of importance to women, minorities, the working class, and other descriptive groups vary in their general public salience. Studies of descriptive </w:t>
      </w:r>
      <w:r w:rsidR="003C7B23">
        <w:lastRenderedPageBreak/>
        <w:t xml:space="preserve">representation among these facets of identity should also take issue salience into consideration. It is possible that black legislators, for instance, are more attentive to low-salience black issues than white lawmakers representing heavily black districts. Generally, looking at such issue contexts may help scholars better </w:t>
      </w:r>
      <w:r w:rsidR="00172B08">
        <w:t>untangle the influence of identity and constituency on a lawmaker’s actions.</w:t>
      </w:r>
      <w:r w:rsidR="003C7B23">
        <w:t xml:space="preserve"> </w:t>
      </w:r>
    </w:p>
    <w:p w14:paraId="0FBAB958" w14:textId="2A77B50E" w:rsidR="00044F06" w:rsidRDefault="003C7B23" w:rsidP="004B1C1D">
      <w:pPr>
        <w:spacing w:line="480" w:lineRule="auto"/>
        <w:jc w:val="left"/>
      </w:pPr>
      <w:r>
        <w:tab/>
        <w:t xml:space="preserve">Returning to age, these findings also say something about the broader representativeness of the U.S. Congress. As noted in the introduction, the membership in both chambers is heavily skewed. For </w:t>
      </w:r>
      <w:r w:rsidR="00172B08">
        <w:t>several</w:t>
      </w:r>
      <w:r>
        <w:t xml:space="preserve"> reasons, including age requirements to run for congressional office, the life experiences generally needed to be recruit</w:t>
      </w:r>
      <w:r w:rsidR="00D305B7">
        <w:t>ed</w:t>
      </w:r>
      <w:r>
        <w:t xml:space="preserve"> to run and win elections, and the disposable income needed to leave a career to pursue elected office, it is much easier for older Americans to run for and win a congressional seat. Furthermore, the benefits of incumbency that help keep lawmakers in office promote an aging Congress, as members who may have been elected young remain in office as they age. But regardless, the results here suggest that the age bias among elected </w:t>
      </w:r>
      <w:r w:rsidR="00172B08">
        <w:t>representatives</w:t>
      </w:r>
      <w:r>
        <w:t xml:space="preserve"> is likely to focus the legislative agenda on low-salience senior issues more so than might be the case if the population of elected officials were more representative.</w:t>
      </w:r>
    </w:p>
    <w:p w14:paraId="09650F75" w14:textId="4D69B6D9" w:rsidR="007D1705" w:rsidRDefault="003C7B23" w:rsidP="004B1C1D">
      <w:pPr>
        <w:spacing w:line="480" w:lineRule="auto"/>
        <w:jc w:val="left"/>
      </w:pPr>
      <w:r>
        <w:tab/>
        <w:t xml:space="preserve">This is not necessarily a good or bad consequence. </w:t>
      </w:r>
      <w:r w:rsidR="00C2440D">
        <w:t>The senior population is in many ways vulnerable, and it is a good thing that the government is attentive to their needs. However, the needs of other vulnerable populations deserve government</w:t>
      </w:r>
      <w:r w:rsidR="00172B08">
        <w:t>al</w:t>
      </w:r>
      <w:r w:rsidR="00C2440D">
        <w:t xml:space="preserve"> attention as well. Ultimately, having substantial variation in the ages and generations represented on Capitol Hill is probably ideal. As Mayhew (2000) discusses, each age group and generation brings unique perspectives and ideas to the table. The synergy of these perspectives is probably best for public policy making.</w:t>
      </w:r>
    </w:p>
    <w:p w14:paraId="1F4D4581" w14:textId="7710D499" w:rsidR="00EE37B4" w:rsidRDefault="003C7B23" w:rsidP="001206BB">
      <w:pPr>
        <w:spacing w:line="480" w:lineRule="auto"/>
        <w:ind w:firstLine="720"/>
        <w:jc w:val="left"/>
      </w:pPr>
      <w:r>
        <w:lastRenderedPageBreak/>
        <w:t xml:space="preserve">Further research on age and descriptive representation is needed to </w:t>
      </w:r>
      <w:r w:rsidR="00172B08">
        <w:t>fully understand how lawmaker</w:t>
      </w:r>
      <w:r>
        <w:t>s</w:t>
      </w:r>
      <w:r w:rsidR="00172B08">
        <w:t>’</w:t>
      </w:r>
      <w:r>
        <w:t xml:space="preserve"> age</w:t>
      </w:r>
      <w:r w:rsidR="00172B08">
        <w:t>s affect</w:t>
      </w:r>
      <w:r>
        <w:t xml:space="preserve"> their behavior in office. Future research should analyze the roll-call voting patterns of senior lawmakers, and their </w:t>
      </w:r>
      <w:r w:rsidR="008F6491">
        <w:t xml:space="preserve">participation </w:t>
      </w:r>
      <w:r>
        <w:t xml:space="preserve">in committee proceedings and in floor debate. Additionally, the seniority norm </w:t>
      </w:r>
      <w:r w:rsidR="00006F11">
        <w:t>in Congress</w:t>
      </w:r>
      <w:r>
        <w:t xml:space="preserve"> should be </w:t>
      </w:r>
      <w:r w:rsidR="00006F11">
        <w:t>re</w:t>
      </w:r>
      <w:r>
        <w:t xml:space="preserve">examined in light of these findings. Most </w:t>
      </w:r>
      <w:r w:rsidR="00006F11">
        <w:t xml:space="preserve">institutional </w:t>
      </w:r>
      <w:r>
        <w:t xml:space="preserve">leadership positions are held by older lawmakers as time in office is </w:t>
      </w:r>
      <w:r w:rsidR="00006F11">
        <w:t>usually a necessary condition for obtaining such a position</w:t>
      </w:r>
      <w:r>
        <w:t xml:space="preserve">. The sway these </w:t>
      </w:r>
      <w:r w:rsidR="008F6491">
        <w:t xml:space="preserve">powerful </w:t>
      </w:r>
      <w:r>
        <w:t>lawmakers have over the congressional agenda may further benefit the interests of seniors. Altogether,</w:t>
      </w:r>
      <w:r w:rsidR="00006F11">
        <w:t xml:space="preserve"> out findings here suggest</w:t>
      </w:r>
      <w:r>
        <w:t xml:space="preserve"> this is an area of research in need of more scrutiny.</w:t>
      </w:r>
    </w:p>
    <w:p w14:paraId="132FB229" w14:textId="77777777" w:rsidR="00D27A8A" w:rsidRDefault="00D27A8A">
      <w:pPr>
        <w:rPr>
          <w:b/>
        </w:rPr>
      </w:pPr>
      <w:r>
        <w:rPr>
          <w:b/>
        </w:rPr>
        <w:br w:type="page"/>
      </w:r>
    </w:p>
    <w:p w14:paraId="548E2D7D" w14:textId="215D4BBF" w:rsidR="00EE37B4" w:rsidRDefault="00EE37B4" w:rsidP="008F6491">
      <w:pPr>
        <w:spacing w:line="480" w:lineRule="auto"/>
      </w:pPr>
      <w:r>
        <w:rPr>
          <w:b/>
        </w:rPr>
        <w:lastRenderedPageBreak/>
        <w:t>References</w:t>
      </w:r>
    </w:p>
    <w:p w14:paraId="2F613197" w14:textId="77777777" w:rsidR="003373AE" w:rsidRDefault="003373AE" w:rsidP="003373AE">
      <w:pPr>
        <w:spacing w:line="480" w:lineRule="auto"/>
        <w:ind w:left="720" w:hanging="720"/>
        <w:jc w:val="left"/>
      </w:pPr>
      <w:r>
        <w:t>Abramson, Paul R. 1979. “Developing Party Identification: A Further E</w:t>
      </w:r>
      <w:r w:rsidRPr="0029011D">
        <w:t xml:space="preserve">xamination of </w:t>
      </w:r>
      <w:r>
        <w:t>Life-C</w:t>
      </w:r>
      <w:r w:rsidRPr="0029011D">
        <w:t xml:space="preserve">ycle, </w:t>
      </w:r>
      <w:r>
        <w:t>Generational, and Period E</w:t>
      </w:r>
      <w:r w:rsidRPr="0029011D">
        <w:t>ffects</w:t>
      </w:r>
      <w:r>
        <w:t xml:space="preserve">.” </w:t>
      </w:r>
      <w:r>
        <w:rPr>
          <w:i/>
        </w:rPr>
        <w:t>American Journal of Political Science</w:t>
      </w:r>
      <w:r>
        <w:t xml:space="preserve"> 73(1): 78-96.</w:t>
      </w:r>
    </w:p>
    <w:p w14:paraId="6FD61BBF" w14:textId="79A706D7" w:rsidR="00B7774E" w:rsidRDefault="00B7774E" w:rsidP="003373AE">
      <w:pPr>
        <w:spacing w:line="480" w:lineRule="auto"/>
        <w:ind w:left="720" w:hanging="720"/>
        <w:jc w:val="left"/>
      </w:pPr>
      <w:r>
        <w:t>Anderson, William A., and Norma D. Anderson. 1978. “</w:t>
      </w:r>
      <w:r w:rsidRPr="00B7774E">
        <w:t>The Politics of Age Exclusion: The Adults Only Movement in Arizona</w:t>
      </w:r>
      <w:r>
        <w:t xml:space="preserve">.” </w:t>
      </w:r>
      <w:r>
        <w:rPr>
          <w:i/>
        </w:rPr>
        <w:t>The Gerontologist</w:t>
      </w:r>
      <w:r>
        <w:t xml:space="preserve"> 18(1): 6-12. </w:t>
      </w:r>
    </w:p>
    <w:p w14:paraId="3EB84AEB" w14:textId="77777777" w:rsidR="003373AE" w:rsidRDefault="003373AE" w:rsidP="003373AE">
      <w:pPr>
        <w:spacing w:line="480" w:lineRule="auto"/>
        <w:ind w:left="720" w:hanging="720"/>
        <w:jc w:val="left"/>
      </w:pPr>
      <w:proofErr w:type="spellStart"/>
      <w:r>
        <w:t>Alwin</w:t>
      </w:r>
      <w:proofErr w:type="spellEnd"/>
      <w:r>
        <w:t xml:space="preserve">, Duane F. 1998. “The Political Impact of the Baby Boom: Are There Persistent Generational Differences in Political Beliefs and Behavior?” </w:t>
      </w:r>
      <w:r>
        <w:rPr>
          <w:i/>
        </w:rPr>
        <w:t>Generations</w:t>
      </w:r>
      <w:r>
        <w:t>: 22: 46-54.</w:t>
      </w:r>
    </w:p>
    <w:p w14:paraId="3F1EE3C6" w14:textId="624B7051" w:rsidR="003373AE" w:rsidRDefault="00006F11" w:rsidP="003373AE">
      <w:pPr>
        <w:spacing w:line="480" w:lineRule="auto"/>
        <w:ind w:left="720" w:hanging="720"/>
        <w:jc w:val="left"/>
      </w:pPr>
      <w:proofErr w:type="spellStart"/>
      <w:proofErr w:type="gramStart"/>
      <w:r>
        <w:t>Alwin</w:t>
      </w:r>
      <w:proofErr w:type="spellEnd"/>
      <w:r>
        <w:t>, Duane F.</w:t>
      </w:r>
      <w:r w:rsidR="003373AE">
        <w:t xml:space="preserve"> and Jon A. </w:t>
      </w:r>
      <w:proofErr w:type="spellStart"/>
      <w:r w:rsidR="003373AE">
        <w:t>Krosnick</w:t>
      </w:r>
      <w:proofErr w:type="spellEnd"/>
      <w:r w:rsidR="003373AE">
        <w:t>.</w:t>
      </w:r>
      <w:proofErr w:type="gramEnd"/>
      <w:r w:rsidR="003373AE">
        <w:t xml:space="preserve"> 1991. “The Reliability of Survey Attitude Measurement: The Influence of Question and Respondent Attributes.” </w:t>
      </w:r>
      <w:r w:rsidR="003373AE">
        <w:rPr>
          <w:i/>
        </w:rPr>
        <w:t>Sociological Methods &amp; Research</w:t>
      </w:r>
      <w:r w:rsidR="003373AE">
        <w:t xml:space="preserve"> 20(1): 139-81.</w:t>
      </w:r>
    </w:p>
    <w:p w14:paraId="1F150AEF" w14:textId="77777777" w:rsidR="003373AE" w:rsidRDefault="003373AE" w:rsidP="003373AE">
      <w:pPr>
        <w:spacing w:line="480" w:lineRule="auto"/>
        <w:ind w:left="720" w:hanging="720"/>
        <w:jc w:val="left"/>
      </w:pPr>
      <w:proofErr w:type="spellStart"/>
      <w:r>
        <w:t>Andel</w:t>
      </w:r>
      <w:proofErr w:type="spellEnd"/>
      <w:r>
        <w:t>, Ross, and Phoebe S. Liebig. 2002. “</w:t>
      </w:r>
      <w:r w:rsidRPr="000E59D4">
        <w:t>The City of Laguna Woods: A Case of Senior Power in Local Politics</w:t>
      </w:r>
      <w:r>
        <w:t xml:space="preserve">.” </w:t>
      </w:r>
      <w:r>
        <w:rPr>
          <w:i/>
        </w:rPr>
        <w:t>Research on Aging</w:t>
      </w:r>
      <w:r>
        <w:t xml:space="preserve"> 24(1): 87-105.</w:t>
      </w:r>
    </w:p>
    <w:p w14:paraId="05512ACD" w14:textId="77777777" w:rsidR="003373AE" w:rsidRPr="0010117F" w:rsidRDefault="003373AE" w:rsidP="003373AE">
      <w:pPr>
        <w:spacing w:line="480" w:lineRule="auto"/>
        <w:ind w:left="720" w:hanging="720"/>
        <w:jc w:val="left"/>
      </w:pPr>
      <w:r>
        <w:t>Anderson, William D., and Janet M. Box-</w:t>
      </w:r>
      <w:proofErr w:type="spellStart"/>
      <w:r>
        <w:t>Steffensmeier</w:t>
      </w:r>
      <w:proofErr w:type="spellEnd"/>
      <w:r>
        <w:t>, and Valeria Sinclair-Chapman. 2003. “</w:t>
      </w:r>
      <w:r w:rsidRPr="0010117F">
        <w:t>The Keys to Legislative Success in the U.S. House of Representatives</w:t>
      </w:r>
      <w:r>
        <w:t xml:space="preserve">.” </w:t>
      </w:r>
      <w:r>
        <w:rPr>
          <w:i/>
        </w:rPr>
        <w:t>Legislative Studies Quarterly</w:t>
      </w:r>
      <w:r>
        <w:t xml:space="preserve"> 28(3): 357-86.</w:t>
      </w:r>
    </w:p>
    <w:p w14:paraId="15E3A1E3" w14:textId="77777777" w:rsidR="003373AE" w:rsidRDefault="003373AE" w:rsidP="003373AE">
      <w:pPr>
        <w:spacing w:line="480" w:lineRule="auto"/>
        <w:ind w:left="720" w:hanging="720"/>
        <w:jc w:val="left"/>
      </w:pPr>
      <w:proofErr w:type="spellStart"/>
      <w:r>
        <w:t>Binstock</w:t>
      </w:r>
      <w:proofErr w:type="spellEnd"/>
      <w:r>
        <w:t>, Robert. 1997. “</w:t>
      </w:r>
      <w:r w:rsidRPr="002312E4">
        <w:t>The 1996 Election: Older Voters and Implications for Policies on Aging</w:t>
      </w:r>
      <w:r>
        <w:t xml:space="preserve">.” </w:t>
      </w:r>
      <w:r>
        <w:rPr>
          <w:i/>
        </w:rPr>
        <w:t>The Gerontologist</w:t>
      </w:r>
      <w:r>
        <w:t xml:space="preserve"> 37(1): 15-19.</w:t>
      </w:r>
    </w:p>
    <w:p w14:paraId="58C649C5" w14:textId="77777777" w:rsidR="003373AE" w:rsidRDefault="003373AE" w:rsidP="003373AE">
      <w:pPr>
        <w:spacing w:line="480" w:lineRule="auto"/>
        <w:ind w:left="720" w:hanging="720"/>
        <w:jc w:val="left"/>
      </w:pPr>
      <w:proofErr w:type="spellStart"/>
      <w:r>
        <w:t>Bramlett</w:t>
      </w:r>
      <w:proofErr w:type="spellEnd"/>
      <w:r>
        <w:t xml:space="preserve">, Brittany. 2015. </w:t>
      </w:r>
      <w:r>
        <w:rPr>
          <w:i/>
        </w:rPr>
        <w:t xml:space="preserve">Senior Power or Senior Peril: </w:t>
      </w:r>
      <w:r w:rsidRPr="00777C4C">
        <w:rPr>
          <w:i/>
        </w:rPr>
        <w:t>Aged Communities and American Society in the Twenty-first Century</w:t>
      </w:r>
      <w:r>
        <w:t>. Philadelphia: Temple University Press.</w:t>
      </w:r>
    </w:p>
    <w:p w14:paraId="4A08EF45" w14:textId="77777777" w:rsidR="003373AE" w:rsidRPr="00761462" w:rsidRDefault="003373AE" w:rsidP="003373AE">
      <w:pPr>
        <w:spacing w:line="480" w:lineRule="auto"/>
        <w:ind w:left="720" w:hanging="720"/>
        <w:jc w:val="left"/>
      </w:pPr>
      <w:r>
        <w:lastRenderedPageBreak/>
        <w:t>Bratton, Kathleen A. 2006. “</w:t>
      </w:r>
      <w:r w:rsidRPr="00761462">
        <w:t>The Behavior and Success of Latino Legislators: Evidence from the States</w:t>
      </w:r>
      <w:r>
        <w:t xml:space="preserve">.” </w:t>
      </w:r>
      <w:r>
        <w:rPr>
          <w:i/>
        </w:rPr>
        <w:t>Social Science Quarterly</w:t>
      </w:r>
      <w:r>
        <w:t xml:space="preserve"> 87(5): 1136-57.</w:t>
      </w:r>
    </w:p>
    <w:p w14:paraId="53D008B3" w14:textId="77777777" w:rsidR="003373AE" w:rsidRDefault="003373AE" w:rsidP="003373AE">
      <w:pPr>
        <w:spacing w:line="480" w:lineRule="auto"/>
        <w:ind w:left="720" w:hanging="720"/>
        <w:jc w:val="left"/>
      </w:pPr>
      <w:r>
        <w:t xml:space="preserve">Bratton, Kathleen A., and Kerry L. </w:t>
      </w:r>
      <w:proofErr w:type="spellStart"/>
      <w:r>
        <w:t>Haynie</w:t>
      </w:r>
      <w:proofErr w:type="spellEnd"/>
      <w:r>
        <w:t>. 1999. “</w:t>
      </w:r>
      <w:r w:rsidRPr="00367BEA">
        <w:t>Agenda Setting and Legislative Success in State Legislatures: The Effects of Gender and Race</w:t>
      </w:r>
      <w:r>
        <w:t xml:space="preserve">.” </w:t>
      </w:r>
      <w:r>
        <w:rPr>
          <w:i/>
        </w:rPr>
        <w:t>Journal of Politics</w:t>
      </w:r>
      <w:r>
        <w:t xml:space="preserve"> 61(3): 658-79.</w:t>
      </w:r>
    </w:p>
    <w:p w14:paraId="6EEAA4AC" w14:textId="77777777" w:rsidR="003373AE" w:rsidRDefault="003373AE" w:rsidP="003373AE">
      <w:pPr>
        <w:spacing w:line="480" w:lineRule="auto"/>
        <w:ind w:left="720" w:hanging="720"/>
        <w:jc w:val="left"/>
      </w:pPr>
      <w:proofErr w:type="spellStart"/>
      <w:r>
        <w:t>Camerson</w:t>
      </w:r>
      <w:proofErr w:type="spellEnd"/>
      <w:r>
        <w:t>, Charles, David Epstein, and Sharyn O’Halloran. 1996. “</w:t>
      </w:r>
      <w:r w:rsidRPr="006055C4">
        <w:t>Do Majority-Minority Districts Maximize Substantive Black Representation in Congress?</w:t>
      </w:r>
      <w:r>
        <w:t xml:space="preserve">” </w:t>
      </w:r>
      <w:r>
        <w:rPr>
          <w:i/>
        </w:rPr>
        <w:t>American Political Science Review</w:t>
      </w:r>
      <w:r>
        <w:t xml:space="preserve"> 90(4): 794-812.</w:t>
      </w:r>
    </w:p>
    <w:p w14:paraId="3ABC5F08" w14:textId="77777777" w:rsidR="003373AE" w:rsidRDefault="003373AE" w:rsidP="003373AE">
      <w:pPr>
        <w:spacing w:line="480" w:lineRule="auto"/>
        <w:ind w:left="720" w:hanging="720"/>
        <w:jc w:val="left"/>
      </w:pPr>
      <w:r>
        <w:t>Campbell, Andrea Louise. 2002. “</w:t>
      </w:r>
      <w:r w:rsidRPr="0029011D">
        <w:t>Self-Interest, Social Security, and the Distinctive Participation Patterns of Senior Citizens</w:t>
      </w:r>
      <w:r>
        <w:t xml:space="preserve">.” </w:t>
      </w:r>
      <w:r>
        <w:rPr>
          <w:i/>
        </w:rPr>
        <w:t>American Political Science Review</w:t>
      </w:r>
      <w:r>
        <w:t xml:space="preserve"> 96(3): 565-74.</w:t>
      </w:r>
    </w:p>
    <w:p w14:paraId="67969C2E" w14:textId="77777777" w:rsidR="003373AE" w:rsidRDefault="003373AE" w:rsidP="003373AE">
      <w:pPr>
        <w:spacing w:line="480" w:lineRule="auto"/>
        <w:ind w:left="720" w:hanging="720"/>
        <w:jc w:val="left"/>
      </w:pPr>
      <w:r>
        <w:t xml:space="preserve">------. 2003. </w:t>
      </w:r>
      <w:r w:rsidRPr="00C9332C">
        <w:rPr>
          <w:i/>
        </w:rPr>
        <w:t>How Policies Make Citizens: Senior Citizen Activism and the American Welfare State</w:t>
      </w:r>
      <w:r>
        <w:t>. Princeton, NJ: Princeton University Press.</w:t>
      </w:r>
    </w:p>
    <w:p w14:paraId="17F28E98" w14:textId="77777777" w:rsidR="003373AE" w:rsidRPr="0022005E" w:rsidRDefault="003373AE" w:rsidP="003373AE">
      <w:pPr>
        <w:spacing w:line="480" w:lineRule="auto"/>
        <w:ind w:left="720" w:hanging="720"/>
        <w:jc w:val="left"/>
      </w:pPr>
      <w:r>
        <w:t>------. 2005. “</w:t>
      </w:r>
      <w:r w:rsidRPr="0022005E">
        <w:t>The Non-distinctiveness of Senior Voters in the 2004 Election</w:t>
      </w:r>
      <w:r>
        <w:t xml:space="preserve">.” </w:t>
      </w:r>
      <w:r>
        <w:rPr>
          <w:i/>
        </w:rPr>
        <w:t>Public Policy and Aging Report</w:t>
      </w:r>
      <w:r>
        <w:t xml:space="preserve"> 15(Winter): 1, 3-6.</w:t>
      </w:r>
    </w:p>
    <w:p w14:paraId="4F5516B0" w14:textId="77777777" w:rsidR="003373AE" w:rsidRDefault="003373AE" w:rsidP="003373AE">
      <w:pPr>
        <w:spacing w:line="480" w:lineRule="auto"/>
        <w:ind w:left="720" w:hanging="720"/>
        <w:jc w:val="left"/>
      </w:pPr>
      <w:r>
        <w:t xml:space="preserve">Carnes, Nicholas. 2013. </w:t>
      </w:r>
      <w:r>
        <w:rPr>
          <w:i/>
        </w:rPr>
        <w:t xml:space="preserve">White-Collar Government: </w:t>
      </w:r>
      <w:r w:rsidRPr="005B2E25">
        <w:rPr>
          <w:i/>
        </w:rPr>
        <w:t>The Hidden Role of Class in Economic Policy Making</w:t>
      </w:r>
      <w:r>
        <w:t>. Chicago: University of Chicago Press.</w:t>
      </w:r>
    </w:p>
    <w:p w14:paraId="0E5443FE" w14:textId="77777777" w:rsidR="003373AE" w:rsidRDefault="003373AE" w:rsidP="003373AE">
      <w:pPr>
        <w:spacing w:line="480" w:lineRule="auto"/>
        <w:ind w:left="720" w:hanging="720"/>
        <w:jc w:val="left"/>
      </w:pPr>
      <w:r>
        <w:t>Carroll, Susan J. 2003. “</w:t>
      </w:r>
      <w:r w:rsidRPr="006608A2">
        <w:t>Representing Women: Congresswomen’s Perceptions of Their Representational Roles</w:t>
      </w:r>
      <w:r>
        <w:t xml:space="preserve">.” </w:t>
      </w:r>
      <w:proofErr w:type="gramStart"/>
      <w:r>
        <w:t xml:space="preserve">In </w:t>
      </w:r>
      <w:r>
        <w:rPr>
          <w:i/>
        </w:rPr>
        <w:t>Women Transforming Congress</w:t>
      </w:r>
      <w:r>
        <w:t>, Ed. Cindy Simon Rosenthal.</w:t>
      </w:r>
      <w:proofErr w:type="gramEnd"/>
      <w:r>
        <w:t xml:space="preserve"> Norman, OK: Oklahoma University Press.</w:t>
      </w:r>
    </w:p>
    <w:p w14:paraId="51C129E2" w14:textId="77777777" w:rsidR="003373AE" w:rsidRPr="0010117F" w:rsidRDefault="003373AE" w:rsidP="003373AE">
      <w:pPr>
        <w:spacing w:line="480" w:lineRule="auto"/>
        <w:ind w:left="720" w:hanging="720"/>
        <w:jc w:val="left"/>
      </w:pPr>
      <w:proofErr w:type="gramStart"/>
      <w:r>
        <w:t>Cox, Gary W., William C. Terry.</w:t>
      </w:r>
      <w:proofErr w:type="gramEnd"/>
      <w:r>
        <w:t xml:space="preserve"> 2008. “</w:t>
      </w:r>
      <w:r w:rsidRPr="0010117F">
        <w:t>Legislative Productivity in the 93d–105th Congresses</w:t>
      </w:r>
      <w:r>
        <w:t xml:space="preserve">.” </w:t>
      </w:r>
      <w:r>
        <w:rPr>
          <w:i/>
        </w:rPr>
        <w:t>Legislative Studies Quarterly</w:t>
      </w:r>
      <w:r>
        <w:t xml:space="preserve"> 33(4): 603-18.</w:t>
      </w:r>
    </w:p>
    <w:p w14:paraId="7A70AF4B" w14:textId="77777777" w:rsidR="003373AE" w:rsidRDefault="003373AE" w:rsidP="003373AE">
      <w:pPr>
        <w:spacing w:line="480" w:lineRule="auto"/>
        <w:ind w:left="720" w:hanging="720"/>
        <w:jc w:val="left"/>
      </w:pPr>
      <w:r w:rsidRPr="00777C4C">
        <w:lastRenderedPageBreak/>
        <w:t xml:space="preserve">Day, Christine L. 1990. </w:t>
      </w:r>
      <w:r w:rsidRPr="00777C4C">
        <w:rPr>
          <w:i/>
        </w:rPr>
        <w:t>What Older Americans Think: Interest Groups and Aging Policy</w:t>
      </w:r>
      <w:r w:rsidRPr="00777C4C">
        <w:t>. Princeton: Princeton University Press.</w:t>
      </w:r>
    </w:p>
    <w:p w14:paraId="3BE3D944" w14:textId="10C474FA" w:rsidR="00D86812" w:rsidRPr="00D86812" w:rsidRDefault="00D86812" w:rsidP="003373AE">
      <w:pPr>
        <w:spacing w:line="480" w:lineRule="auto"/>
        <w:ind w:left="720" w:hanging="720"/>
        <w:jc w:val="left"/>
      </w:pPr>
      <w:r>
        <w:t xml:space="preserve">Deering, Christopher J., and Steven S. Smith. 1997. </w:t>
      </w:r>
      <w:r>
        <w:rPr>
          <w:i/>
        </w:rPr>
        <w:t>Committees in Congress</w:t>
      </w:r>
      <w:r>
        <w:t>, 3rd Edition. Washington: CQ Press.</w:t>
      </w:r>
    </w:p>
    <w:p w14:paraId="5001DB8A" w14:textId="77777777" w:rsidR="003373AE" w:rsidRDefault="003373AE" w:rsidP="003373AE">
      <w:pPr>
        <w:spacing w:line="480" w:lineRule="auto"/>
        <w:ind w:left="720" w:hanging="720"/>
        <w:jc w:val="left"/>
      </w:pPr>
      <w:r>
        <w:t xml:space="preserve">Dodson, Debra L. 2006. </w:t>
      </w:r>
      <w:proofErr w:type="gramStart"/>
      <w:r w:rsidRPr="006608A2">
        <w:rPr>
          <w:i/>
        </w:rPr>
        <w:t>The Impact of Women in Congress</w:t>
      </w:r>
      <w:r>
        <w:t>.</w:t>
      </w:r>
      <w:proofErr w:type="gramEnd"/>
      <w:r>
        <w:t xml:space="preserve"> New York: Oxford University Press.</w:t>
      </w:r>
    </w:p>
    <w:p w14:paraId="72500A62" w14:textId="77777777" w:rsidR="003373AE" w:rsidRDefault="003373AE" w:rsidP="003373AE">
      <w:pPr>
        <w:spacing w:line="480" w:lineRule="auto"/>
        <w:ind w:left="720" w:hanging="720"/>
        <w:jc w:val="left"/>
      </w:pPr>
      <w:proofErr w:type="gramStart"/>
      <w:r>
        <w:t>Ellis, William C., and Walter C. Wilson.</w:t>
      </w:r>
      <w:proofErr w:type="gramEnd"/>
      <w:r>
        <w:t xml:space="preserve"> 2013. “</w:t>
      </w:r>
      <w:r w:rsidRPr="00D43706">
        <w:t>Minority Chairs and Congressional Attention to Minority Issues: The Effect of Descriptive Representation in Positions of Institutional Power</w:t>
      </w:r>
      <w:r>
        <w:t xml:space="preserve">.” </w:t>
      </w:r>
      <w:r>
        <w:rPr>
          <w:i/>
        </w:rPr>
        <w:t>Social Science Quarterly</w:t>
      </w:r>
      <w:r>
        <w:t xml:space="preserve"> 94(5): 1207-21.</w:t>
      </w:r>
    </w:p>
    <w:p w14:paraId="03AB35DC" w14:textId="77777777" w:rsidR="003373AE" w:rsidRDefault="003373AE" w:rsidP="003373AE">
      <w:pPr>
        <w:spacing w:line="480" w:lineRule="auto"/>
        <w:ind w:left="720" w:hanging="720"/>
        <w:jc w:val="left"/>
      </w:pPr>
      <w:r>
        <w:t xml:space="preserve">Fenno, Richard F. 1973. </w:t>
      </w:r>
      <w:proofErr w:type="gramStart"/>
      <w:r>
        <w:rPr>
          <w:i/>
        </w:rPr>
        <w:t>Congressmen in Committees</w:t>
      </w:r>
      <w:r>
        <w:t>.</w:t>
      </w:r>
      <w:proofErr w:type="gramEnd"/>
      <w:r>
        <w:t xml:space="preserve"> Boston: Little, Brown.</w:t>
      </w:r>
    </w:p>
    <w:p w14:paraId="076D3712" w14:textId="5DB5CAEA" w:rsidR="002D79B1" w:rsidRPr="0010117F" w:rsidRDefault="002D79B1" w:rsidP="003373AE">
      <w:pPr>
        <w:spacing w:line="480" w:lineRule="auto"/>
        <w:ind w:left="720" w:hanging="720"/>
        <w:jc w:val="left"/>
      </w:pPr>
      <w:r>
        <w:t>------</w:t>
      </w:r>
      <w:r w:rsidRPr="002D79B1">
        <w:t xml:space="preserve">. 1978.  </w:t>
      </w:r>
      <w:r w:rsidRPr="00584F9A">
        <w:rPr>
          <w:i/>
        </w:rPr>
        <w:t>Home Style: House Members in Their Districts</w:t>
      </w:r>
      <w:r w:rsidRPr="002D79B1">
        <w:t xml:space="preserve">. </w:t>
      </w:r>
      <w:r>
        <w:t>New York:</w:t>
      </w:r>
      <w:r w:rsidRPr="002D79B1">
        <w:t xml:space="preserve"> Pearson</w:t>
      </w:r>
      <w:r>
        <w:t>.</w:t>
      </w:r>
    </w:p>
    <w:p w14:paraId="5A3DEDBF" w14:textId="64CE5E83" w:rsidR="003373AE" w:rsidRDefault="002D79B1" w:rsidP="003373AE">
      <w:pPr>
        <w:spacing w:line="480" w:lineRule="auto"/>
        <w:ind w:left="720" w:hanging="720"/>
        <w:jc w:val="left"/>
      </w:pPr>
      <w:r>
        <w:t>------</w:t>
      </w:r>
      <w:r w:rsidR="003373AE">
        <w:t xml:space="preserve">. 2003. </w:t>
      </w:r>
      <w:r w:rsidR="003373AE" w:rsidRPr="00F35F56">
        <w:rPr>
          <w:i/>
        </w:rPr>
        <w:t>Going Home: Black Representatives and Their Constituents</w:t>
      </w:r>
      <w:r w:rsidR="003373AE">
        <w:t>. Chicago: University of Chicago Press.</w:t>
      </w:r>
    </w:p>
    <w:p w14:paraId="688F8166" w14:textId="5756A7AE" w:rsidR="008C182C" w:rsidRPr="008C182C" w:rsidRDefault="008C182C" w:rsidP="003373AE">
      <w:pPr>
        <w:spacing w:line="480" w:lineRule="auto"/>
        <w:ind w:left="720" w:hanging="720"/>
        <w:jc w:val="left"/>
      </w:pPr>
      <w:r>
        <w:t xml:space="preserve">File, Thom. 2013. “Young-Adult Voting: An Analysis of Presidential Elections, 1964-2012.” </w:t>
      </w:r>
      <w:proofErr w:type="gramStart"/>
      <w:r>
        <w:rPr>
          <w:i/>
        </w:rPr>
        <w:t xml:space="preserve">Current Populations Survey Reports, </w:t>
      </w:r>
      <w:r>
        <w:t>P20-572.</w:t>
      </w:r>
      <w:proofErr w:type="gramEnd"/>
      <w:r>
        <w:t xml:space="preserve"> U.S. Census Bureau, Washington, D.C.</w:t>
      </w:r>
    </w:p>
    <w:p w14:paraId="14D69467" w14:textId="77777777" w:rsidR="003373AE" w:rsidRDefault="003373AE" w:rsidP="003373AE">
      <w:pPr>
        <w:spacing w:line="480" w:lineRule="auto"/>
        <w:ind w:left="720" w:hanging="720"/>
        <w:jc w:val="left"/>
      </w:pPr>
      <w:r>
        <w:t>Frederick, Brian. 2010. “</w:t>
      </w:r>
      <w:r w:rsidRPr="005B2E25">
        <w:t>Gender and Patterns of Roll Call Voting in the U.S. Senate</w:t>
      </w:r>
      <w:r>
        <w:t xml:space="preserve">.” </w:t>
      </w:r>
      <w:r>
        <w:rPr>
          <w:i/>
        </w:rPr>
        <w:t>Congress &amp; the Presidency</w:t>
      </w:r>
      <w:r>
        <w:t xml:space="preserve"> 37(2): 103-24.</w:t>
      </w:r>
    </w:p>
    <w:p w14:paraId="0707E8FF" w14:textId="77777777" w:rsidR="003373AE" w:rsidRPr="00367BEA" w:rsidRDefault="003373AE" w:rsidP="003373AE">
      <w:pPr>
        <w:spacing w:line="480" w:lineRule="auto"/>
        <w:ind w:left="720" w:hanging="720"/>
        <w:jc w:val="left"/>
      </w:pPr>
      <w:r>
        <w:t>Gamble, Katrina L. 2007. “</w:t>
      </w:r>
      <w:r w:rsidRPr="00367BEA">
        <w:t>Black Political Representation: An Examination of Legislative Activity Within U.S. House Committees</w:t>
      </w:r>
      <w:r>
        <w:t xml:space="preserve">.” </w:t>
      </w:r>
      <w:r>
        <w:rPr>
          <w:i/>
        </w:rPr>
        <w:t>Legislative Studies Quarterly</w:t>
      </w:r>
      <w:r>
        <w:t xml:space="preserve"> 32(3): 421-47.</w:t>
      </w:r>
    </w:p>
    <w:p w14:paraId="55822D3E" w14:textId="77777777" w:rsidR="003373AE" w:rsidRDefault="003373AE" w:rsidP="003373AE">
      <w:pPr>
        <w:spacing w:line="480" w:lineRule="auto"/>
        <w:ind w:left="720" w:hanging="720"/>
        <w:jc w:val="left"/>
      </w:pPr>
      <w:proofErr w:type="spellStart"/>
      <w:proofErr w:type="gramStart"/>
      <w:r>
        <w:t>Gerrity</w:t>
      </w:r>
      <w:proofErr w:type="spellEnd"/>
      <w:r>
        <w:t>, Jessica C., Tracy Osborn, and Jeanette Morehouse Mendez.</w:t>
      </w:r>
      <w:proofErr w:type="gramEnd"/>
      <w:r>
        <w:t xml:space="preserve"> 2007. “</w:t>
      </w:r>
      <w:r w:rsidRPr="005B2E25">
        <w:t>Women and Representation: A Different View of the District?</w:t>
      </w:r>
      <w:r>
        <w:t xml:space="preserve">” </w:t>
      </w:r>
      <w:r>
        <w:rPr>
          <w:i/>
        </w:rPr>
        <w:t>Politics &amp; Gender</w:t>
      </w:r>
      <w:r>
        <w:t xml:space="preserve"> 2(June): 179-200.</w:t>
      </w:r>
    </w:p>
    <w:p w14:paraId="49CC7F8B" w14:textId="3AF5E721" w:rsidR="002D79B1" w:rsidRDefault="002D79B1" w:rsidP="003373AE">
      <w:pPr>
        <w:spacing w:line="480" w:lineRule="auto"/>
        <w:ind w:left="720" w:hanging="720"/>
        <w:jc w:val="left"/>
      </w:pPr>
      <w:proofErr w:type="gramStart"/>
      <w:r>
        <w:t>Grimmer, Justin.</w:t>
      </w:r>
      <w:proofErr w:type="gramEnd"/>
      <w:r>
        <w:t xml:space="preserve"> 2013. </w:t>
      </w:r>
      <w:r w:rsidRPr="00584F9A">
        <w:rPr>
          <w:i/>
        </w:rPr>
        <w:t>Representational Style in Congress: What Legislators Say and Why It Matters</w:t>
      </w:r>
      <w:r w:rsidRPr="002D79B1">
        <w:t>.</w:t>
      </w:r>
      <w:r>
        <w:t xml:space="preserve"> New York: Cambridge University Press.</w:t>
      </w:r>
    </w:p>
    <w:p w14:paraId="7E0E7C9C" w14:textId="77777777" w:rsidR="003373AE" w:rsidRDefault="003373AE" w:rsidP="003373AE">
      <w:pPr>
        <w:spacing w:line="480" w:lineRule="auto"/>
        <w:ind w:left="720" w:hanging="720"/>
        <w:jc w:val="left"/>
      </w:pPr>
      <w:proofErr w:type="spellStart"/>
      <w:r>
        <w:lastRenderedPageBreak/>
        <w:t>Haider</w:t>
      </w:r>
      <w:proofErr w:type="spellEnd"/>
      <w:r>
        <w:t>-Markel, Donald P. 2007. “</w:t>
      </w:r>
      <w:r w:rsidRPr="004F266B">
        <w:t>Representation and Backlash: The Positive and Negative Influence of Descriptive Representation</w:t>
      </w:r>
      <w:r>
        <w:t xml:space="preserve">.” </w:t>
      </w:r>
      <w:r>
        <w:rPr>
          <w:i/>
        </w:rPr>
        <w:t>Legislative Studies Quarterly</w:t>
      </w:r>
      <w:r>
        <w:t xml:space="preserve"> 32(1): 107-33.</w:t>
      </w:r>
    </w:p>
    <w:p w14:paraId="0C6580FD" w14:textId="77777777" w:rsidR="003373AE" w:rsidRDefault="003373AE" w:rsidP="003373AE">
      <w:pPr>
        <w:spacing w:line="480" w:lineRule="auto"/>
        <w:ind w:left="720" w:hanging="720"/>
        <w:jc w:val="left"/>
      </w:pPr>
      <w:proofErr w:type="spellStart"/>
      <w:r>
        <w:t>Hawkesworth</w:t>
      </w:r>
      <w:proofErr w:type="spellEnd"/>
      <w:r>
        <w:t>, Mary. 2003. “</w:t>
      </w:r>
      <w:r w:rsidRPr="006608A2">
        <w:t>Congressional Enactments of Race–Gender: Toward a Theory of Raced–Gendered Institutions</w:t>
      </w:r>
      <w:r>
        <w:t xml:space="preserve">.” </w:t>
      </w:r>
      <w:r>
        <w:rPr>
          <w:i/>
        </w:rPr>
        <w:t>American Political Science Review</w:t>
      </w:r>
      <w:r>
        <w:t xml:space="preserve"> 97(4): 529-50.</w:t>
      </w:r>
    </w:p>
    <w:p w14:paraId="090E9CAD" w14:textId="6D2E82A2" w:rsidR="002D79B1" w:rsidRPr="006608A2" w:rsidRDefault="002D79B1" w:rsidP="003373AE">
      <w:pPr>
        <w:spacing w:line="480" w:lineRule="auto"/>
        <w:ind w:left="720" w:hanging="720"/>
        <w:jc w:val="left"/>
      </w:pPr>
      <w:proofErr w:type="gramStart"/>
      <w:r w:rsidRPr="002D79B1">
        <w:t>Hayes, Thomas J. and Benjamin G</w:t>
      </w:r>
      <w:r>
        <w:t xml:space="preserve"> </w:t>
      </w:r>
      <w:proofErr w:type="spellStart"/>
      <w:r>
        <w:t>Bishin</w:t>
      </w:r>
      <w:proofErr w:type="spellEnd"/>
      <w:r w:rsidRPr="002D79B1">
        <w:t>.</w:t>
      </w:r>
      <w:proofErr w:type="gramEnd"/>
      <w:r w:rsidRPr="002D79B1">
        <w:t xml:space="preserve"> </w:t>
      </w:r>
      <w:r>
        <w:t xml:space="preserve">2012. </w:t>
      </w:r>
      <w:r w:rsidRPr="002D79B1">
        <w:t xml:space="preserve">“Issue Salience, </w:t>
      </w:r>
      <w:proofErr w:type="spellStart"/>
      <w:r w:rsidRPr="002D79B1">
        <w:t>Subconstituency</w:t>
      </w:r>
      <w:proofErr w:type="spellEnd"/>
      <w:r w:rsidRPr="002D79B1">
        <w:t xml:space="preserve"> Politics, and Legislative Representation</w:t>
      </w:r>
      <w:r>
        <w:t xml:space="preserve">.” </w:t>
      </w:r>
      <w:r w:rsidRPr="00584F9A">
        <w:rPr>
          <w:i/>
        </w:rPr>
        <w:t>Congress and the Presidency</w:t>
      </w:r>
      <w:r w:rsidRPr="002D79B1">
        <w:t xml:space="preserve"> 39</w:t>
      </w:r>
      <w:r>
        <w:t>(</w:t>
      </w:r>
      <w:r w:rsidRPr="002D79B1">
        <w:t>2</w:t>
      </w:r>
      <w:r>
        <w:t>): 133-</w:t>
      </w:r>
      <w:r w:rsidRPr="002D79B1">
        <w:t>59.</w:t>
      </w:r>
    </w:p>
    <w:p w14:paraId="2D123464" w14:textId="77777777" w:rsidR="003373AE" w:rsidRDefault="003373AE" w:rsidP="003373AE">
      <w:pPr>
        <w:spacing w:line="480" w:lineRule="auto"/>
        <w:ind w:left="720" w:hanging="720"/>
        <w:jc w:val="left"/>
      </w:pPr>
      <w:proofErr w:type="spellStart"/>
      <w:r>
        <w:t>Haynie</w:t>
      </w:r>
      <w:proofErr w:type="spellEnd"/>
      <w:r>
        <w:t xml:space="preserve">, Kerry L. 2001. </w:t>
      </w:r>
      <w:proofErr w:type="gramStart"/>
      <w:r w:rsidRPr="00367BEA">
        <w:rPr>
          <w:i/>
        </w:rPr>
        <w:t>African American Legislators in the American States</w:t>
      </w:r>
      <w:r>
        <w:t>.</w:t>
      </w:r>
      <w:proofErr w:type="gramEnd"/>
      <w:r>
        <w:t xml:space="preserve"> New York: Columbia University Press.</w:t>
      </w:r>
    </w:p>
    <w:p w14:paraId="330DB30A" w14:textId="77777777" w:rsidR="003373AE" w:rsidRPr="004F266B" w:rsidRDefault="003373AE" w:rsidP="003373AE">
      <w:pPr>
        <w:spacing w:line="480" w:lineRule="auto"/>
        <w:ind w:left="720" w:hanging="720"/>
        <w:jc w:val="left"/>
      </w:pPr>
      <w:r>
        <w:t>Herrick, Rebekah. 2009. “</w:t>
      </w:r>
      <w:r w:rsidRPr="004F266B">
        <w:t>The Effects of Sexual Orientation on State Legislators' Behavior and Priorities</w:t>
      </w:r>
      <w:r>
        <w:t xml:space="preserve">.” </w:t>
      </w:r>
      <w:r>
        <w:rPr>
          <w:i/>
        </w:rPr>
        <w:t>Journal of Homosexuality</w:t>
      </w:r>
      <w:r>
        <w:t xml:space="preserve"> 56(8): 1117-33.</w:t>
      </w:r>
    </w:p>
    <w:p w14:paraId="2F9A54C9" w14:textId="77777777" w:rsidR="003373AE" w:rsidRDefault="003373AE" w:rsidP="003373AE">
      <w:pPr>
        <w:spacing w:line="480" w:lineRule="auto"/>
        <w:ind w:left="720" w:hanging="720"/>
        <w:jc w:val="left"/>
      </w:pPr>
      <w:proofErr w:type="spellStart"/>
      <w:r w:rsidRPr="00777C4C">
        <w:t>Hornblower</w:t>
      </w:r>
      <w:proofErr w:type="spellEnd"/>
      <w:r w:rsidRPr="00777C4C">
        <w:t xml:space="preserve">, Margot. 1988. “Gray Power!” </w:t>
      </w:r>
      <w:r w:rsidRPr="00777C4C">
        <w:rPr>
          <w:i/>
        </w:rPr>
        <w:t>Time</w:t>
      </w:r>
      <w:r w:rsidRPr="00777C4C">
        <w:t xml:space="preserve"> (January 4), 36-37.</w:t>
      </w:r>
    </w:p>
    <w:p w14:paraId="4EB367CE" w14:textId="77777777" w:rsidR="003373AE" w:rsidRDefault="003373AE" w:rsidP="003373AE">
      <w:pPr>
        <w:spacing w:line="480" w:lineRule="auto"/>
        <w:ind w:left="720" w:hanging="720"/>
        <w:jc w:val="left"/>
      </w:pPr>
      <w:proofErr w:type="gramStart"/>
      <w:r>
        <w:t xml:space="preserve">Jennings, M. Kent, and Richard G. </w:t>
      </w:r>
      <w:proofErr w:type="spellStart"/>
      <w:r>
        <w:t>Niemi</w:t>
      </w:r>
      <w:proofErr w:type="spellEnd"/>
      <w:r>
        <w:t>.</w:t>
      </w:r>
      <w:proofErr w:type="gramEnd"/>
      <w:r>
        <w:t xml:space="preserve"> 1981. </w:t>
      </w:r>
      <w:r w:rsidRPr="0029011D">
        <w:rPr>
          <w:i/>
        </w:rPr>
        <w:t>Generations and Politics: A Panel Study of Young Adults and Their Parents</w:t>
      </w:r>
      <w:r>
        <w:t>. Princeton, NJ: Princeton University Press.</w:t>
      </w:r>
    </w:p>
    <w:p w14:paraId="53A219EF" w14:textId="77777777" w:rsidR="003373AE" w:rsidRPr="00674CCF" w:rsidRDefault="003373AE" w:rsidP="003373AE">
      <w:pPr>
        <w:spacing w:line="480" w:lineRule="auto"/>
        <w:ind w:left="720" w:hanging="720"/>
        <w:jc w:val="left"/>
      </w:pPr>
      <w:r>
        <w:t>Jennings, M. Kent, and Gregory B. Markus. 1988. “</w:t>
      </w:r>
      <w:r w:rsidRPr="00674CCF">
        <w:t>Political Involvement in the Later Years: A Longitudinal Survey</w:t>
      </w:r>
      <w:r>
        <w:t xml:space="preserve">.” </w:t>
      </w:r>
      <w:r>
        <w:rPr>
          <w:i/>
        </w:rPr>
        <w:t>American Journal of Political Science</w:t>
      </w:r>
      <w:r>
        <w:t xml:space="preserve"> 32(2): 302-16.</w:t>
      </w:r>
    </w:p>
    <w:p w14:paraId="33CA82EC" w14:textId="77777777" w:rsidR="003373AE" w:rsidRDefault="003373AE" w:rsidP="003373AE">
      <w:pPr>
        <w:spacing w:line="480" w:lineRule="auto"/>
        <w:ind w:left="720" w:hanging="720"/>
        <w:jc w:val="left"/>
      </w:pPr>
      <w:proofErr w:type="gramStart"/>
      <w:r>
        <w:t xml:space="preserve">Kerr, </w:t>
      </w:r>
      <w:proofErr w:type="spellStart"/>
      <w:r>
        <w:t>Brinck</w:t>
      </w:r>
      <w:proofErr w:type="spellEnd"/>
      <w:r>
        <w:t>, and Will Miller.</w:t>
      </w:r>
      <w:proofErr w:type="gramEnd"/>
      <w:r>
        <w:t xml:space="preserve"> 1997. “</w:t>
      </w:r>
      <w:r w:rsidRPr="00B072DB">
        <w:t>Latino Representation, It's Direct and Indirect</w:t>
      </w:r>
      <w:r>
        <w:t xml:space="preserve">.” </w:t>
      </w:r>
      <w:r>
        <w:rPr>
          <w:i/>
        </w:rPr>
        <w:t>American Journal of Political Science</w:t>
      </w:r>
      <w:r>
        <w:t xml:space="preserve"> 41(3): 1066-71.</w:t>
      </w:r>
    </w:p>
    <w:p w14:paraId="1FA7A5C6" w14:textId="6233BF7E" w:rsidR="002D79B1" w:rsidRDefault="002D79B1" w:rsidP="003373AE">
      <w:pPr>
        <w:spacing w:line="480" w:lineRule="auto"/>
        <w:ind w:left="720" w:hanging="720"/>
        <w:jc w:val="left"/>
      </w:pPr>
      <w:proofErr w:type="spellStart"/>
      <w:r w:rsidRPr="002D79B1">
        <w:t>Kingdon</w:t>
      </w:r>
      <w:proofErr w:type="spellEnd"/>
      <w:r w:rsidRPr="002D79B1">
        <w:t xml:space="preserve">, John. 1989.  </w:t>
      </w:r>
      <w:r w:rsidRPr="00584F9A">
        <w:rPr>
          <w:i/>
        </w:rPr>
        <w:t>Congressmen’s Voting Decisions</w:t>
      </w:r>
      <w:r>
        <w:t>, 3</w:t>
      </w:r>
      <w:r w:rsidRPr="00584F9A">
        <w:rPr>
          <w:vertAlign w:val="superscript"/>
        </w:rPr>
        <w:t>rd</w:t>
      </w:r>
      <w:r>
        <w:t xml:space="preserve"> Edition</w:t>
      </w:r>
      <w:r w:rsidRPr="002D79B1">
        <w:t xml:space="preserve">. </w:t>
      </w:r>
      <w:r>
        <w:t>Ann Arbor, MI: University of Michigan Press</w:t>
      </w:r>
      <w:r w:rsidRPr="002D79B1">
        <w:t>.</w:t>
      </w:r>
    </w:p>
    <w:p w14:paraId="189970A1" w14:textId="70B03638" w:rsidR="002D79B1" w:rsidRDefault="002D79B1" w:rsidP="003373AE">
      <w:pPr>
        <w:spacing w:line="480" w:lineRule="auto"/>
        <w:ind w:left="720" w:hanging="720"/>
        <w:jc w:val="left"/>
      </w:pPr>
      <w:r w:rsidRPr="002D79B1">
        <w:t>Lazarus, Jeffery.</w:t>
      </w:r>
      <w:r>
        <w:t xml:space="preserve"> 2013.</w:t>
      </w:r>
      <w:r w:rsidRPr="002D79B1">
        <w:t xml:space="preserve"> “Issue Salience and Bill Introduction in the House and Senat</w:t>
      </w:r>
      <w:r>
        <w:t xml:space="preserve">e.” </w:t>
      </w:r>
      <w:r w:rsidRPr="00584F9A">
        <w:rPr>
          <w:i/>
        </w:rPr>
        <w:t>Congress and the Presidency</w:t>
      </w:r>
      <w:r>
        <w:rPr>
          <w:i/>
        </w:rPr>
        <w:t xml:space="preserve"> </w:t>
      </w:r>
      <w:r w:rsidRPr="002D79B1">
        <w:t>40</w:t>
      </w:r>
      <w:r>
        <w:t>(</w:t>
      </w:r>
      <w:r w:rsidRPr="002D79B1">
        <w:t>3</w:t>
      </w:r>
      <w:r>
        <w:t>): 215-</w:t>
      </w:r>
      <w:r w:rsidRPr="002D79B1">
        <w:t>29.</w:t>
      </w:r>
    </w:p>
    <w:p w14:paraId="7B0D5B9E" w14:textId="77777777" w:rsidR="003373AE" w:rsidRDefault="003373AE" w:rsidP="003373AE">
      <w:pPr>
        <w:spacing w:line="480" w:lineRule="auto"/>
        <w:ind w:left="720" w:hanging="720"/>
        <w:jc w:val="left"/>
      </w:pPr>
      <w:proofErr w:type="gramStart"/>
      <w:r>
        <w:lastRenderedPageBreak/>
        <w:t>MacDonald, Jason A., and Erin E. O’Brien.</w:t>
      </w:r>
      <w:proofErr w:type="gramEnd"/>
      <w:r>
        <w:t xml:space="preserve"> 2010. “</w:t>
      </w:r>
      <w:r w:rsidRPr="00C66097">
        <w:t>Quasi-Experimental Design, Constituency, and Advancing Women's Interests: Reexamining the Influence of Gender on Substantive Representation</w:t>
      </w:r>
      <w:r>
        <w:t xml:space="preserve">.” </w:t>
      </w:r>
      <w:r>
        <w:rPr>
          <w:i/>
        </w:rPr>
        <w:t>Political Research Quarterly</w:t>
      </w:r>
      <w:r>
        <w:t xml:space="preserve"> 64(2): 472-86.</w:t>
      </w:r>
    </w:p>
    <w:p w14:paraId="4A80ABF7" w14:textId="77777777" w:rsidR="003373AE" w:rsidRDefault="003373AE" w:rsidP="003373AE">
      <w:pPr>
        <w:spacing w:line="480" w:lineRule="auto"/>
        <w:ind w:left="720" w:hanging="720"/>
        <w:jc w:val="left"/>
      </w:pPr>
      <w:proofErr w:type="spellStart"/>
      <w:r>
        <w:t>Mansbridge</w:t>
      </w:r>
      <w:proofErr w:type="spellEnd"/>
      <w:r>
        <w:t xml:space="preserve">, Jane. 2003. “Rethinking Representation.” </w:t>
      </w:r>
      <w:r>
        <w:rPr>
          <w:i/>
        </w:rPr>
        <w:t>American Political Science Review</w:t>
      </w:r>
      <w:r>
        <w:t xml:space="preserve"> 97(4): 515-28.</w:t>
      </w:r>
    </w:p>
    <w:p w14:paraId="45520E67" w14:textId="77777777" w:rsidR="003373AE" w:rsidRDefault="003373AE" w:rsidP="003373AE">
      <w:pPr>
        <w:spacing w:line="480" w:lineRule="auto"/>
        <w:ind w:left="720" w:hanging="720"/>
        <w:jc w:val="left"/>
      </w:pPr>
      <w:r>
        <w:t xml:space="preserve">Mayhew, David R. 1974. </w:t>
      </w:r>
      <w:r>
        <w:rPr>
          <w:i/>
        </w:rPr>
        <w:t>Congress: The Electoral Connection</w:t>
      </w:r>
      <w:r>
        <w:t>. New Haven, CT: Yale University Press.</w:t>
      </w:r>
    </w:p>
    <w:p w14:paraId="77FF5FEE" w14:textId="77777777" w:rsidR="003373AE" w:rsidRPr="0010117F" w:rsidRDefault="003373AE" w:rsidP="003373AE">
      <w:pPr>
        <w:spacing w:line="480" w:lineRule="auto"/>
        <w:ind w:left="720" w:hanging="720"/>
        <w:jc w:val="left"/>
      </w:pPr>
      <w:r>
        <w:t xml:space="preserve">------. 2000. </w:t>
      </w:r>
      <w:r>
        <w:rPr>
          <w:i/>
        </w:rPr>
        <w:t xml:space="preserve">America’s Congress: </w:t>
      </w:r>
      <w:r w:rsidRPr="0010117F">
        <w:rPr>
          <w:i/>
        </w:rPr>
        <w:t>Actions in the Public Sphere, James Madison Through Newt Gingrich</w:t>
      </w:r>
      <w:r>
        <w:rPr>
          <w:i/>
        </w:rPr>
        <w:t>.</w:t>
      </w:r>
      <w:r>
        <w:t xml:space="preserve"> New Haven, CT: Yale University Press.</w:t>
      </w:r>
    </w:p>
    <w:p w14:paraId="1B10177D" w14:textId="77777777" w:rsidR="003373AE" w:rsidRPr="00712124" w:rsidRDefault="003373AE" w:rsidP="003373AE">
      <w:pPr>
        <w:spacing w:line="480" w:lineRule="auto"/>
        <w:ind w:left="720" w:hanging="720"/>
        <w:jc w:val="left"/>
      </w:pPr>
      <w:r>
        <w:t xml:space="preserve">Miller, Arthur N., Patricia </w:t>
      </w:r>
      <w:proofErr w:type="spellStart"/>
      <w:r>
        <w:t>Gurin</w:t>
      </w:r>
      <w:proofErr w:type="spellEnd"/>
      <w:r>
        <w:t xml:space="preserve">, and Gerald </w:t>
      </w:r>
      <w:proofErr w:type="spellStart"/>
      <w:r>
        <w:t>Gurin</w:t>
      </w:r>
      <w:proofErr w:type="spellEnd"/>
      <w:r>
        <w:t>. 1980. “Age Consciousness and Political Mobilization of Older Americans.” The Gerontologist 20 (September): 691-700.</w:t>
      </w:r>
    </w:p>
    <w:p w14:paraId="5361CAC9" w14:textId="77777777" w:rsidR="003373AE" w:rsidRPr="00367BEA" w:rsidRDefault="003373AE" w:rsidP="003373AE">
      <w:pPr>
        <w:spacing w:line="480" w:lineRule="auto"/>
        <w:ind w:left="720" w:hanging="720"/>
        <w:jc w:val="left"/>
      </w:pPr>
      <w:proofErr w:type="spellStart"/>
      <w:r>
        <w:t>Minta</w:t>
      </w:r>
      <w:proofErr w:type="spellEnd"/>
      <w:r>
        <w:t>, Michael D. 2009. “Legislative Oversight and the S</w:t>
      </w:r>
      <w:r w:rsidRPr="00367BEA">
        <w:t>ubstant</w:t>
      </w:r>
      <w:r>
        <w:t xml:space="preserve">ive Representation of Black and </w:t>
      </w:r>
      <w:r w:rsidRPr="00367BEA">
        <w:t xml:space="preserve">Latino </w:t>
      </w:r>
      <w:r>
        <w:t>I</w:t>
      </w:r>
      <w:r w:rsidRPr="00367BEA">
        <w:t>nterests in Congress</w:t>
      </w:r>
      <w:r>
        <w:t xml:space="preserve">.” </w:t>
      </w:r>
      <w:r>
        <w:rPr>
          <w:i/>
        </w:rPr>
        <w:t>Legislative Studies Quarterly</w:t>
      </w:r>
      <w:r>
        <w:t xml:space="preserve"> 34(2): 193-218.</w:t>
      </w:r>
    </w:p>
    <w:p w14:paraId="69AD5995" w14:textId="77777777" w:rsidR="003373AE" w:rsidRDefault="003373AE" w:rsidP="003373AE">
      <w:pPr>
        <w:spacing w:line="480" w:lineRule="auto"/>
        <w:ind w:left="720" w:hanging="720"/>
        <w:jc w:val="left"/>
      </w:pPr>
      <w:proofErr w:type="gramStart"/>
      <w:r>
        <w:t xml:space="preserve">Moon, </w:t>
      </w:r>
      <w:proofErr w:type="spellStart"/>
      <w:r>
        <w:t>Marylin</w:t>
      </w:r>
      <w:proofErr w:type="spellEnd"/>
      <w:r>
        <w:t xml:space="preserve">, and </w:t>
      </w:r>
      <w:proofErr w:type="spellStart"/>
      <w:r>
        <w:t>Janemarie</w:t>
      </w:r>
      <w:proofErr w:type="spellEnd"/>
      <w:r>
        <w:t xml:space="preserve"> </w:t>
      </w:r>
      <w:proofErr w:type="spellStart"/>
      <w:r>
        <w:t>Mulvey</w:t>
      </w:r>
      <w:proofErr w:type="spellEnd"/>
      <w:r>
        <w:t>.</w:t>
      </w:r>
      <w:proofErr w:type="gramEnd"/>
      <w:r>
        <w:t xml:space="preserve"> 1996. </w:t>
      </w:r>
      <w:r w:rsidRPr="0073164E">
        <w:rPr>
          <w:i/>
        </w:rPr>
        <w:t>Entitlements and the Elderly: Protecting Promises, Recognizing Reality</w:t>
      </w:r>
      <w:r>
        <w:t>. Washington, DC: The Urban Institute Press.</w:t>
      </w:r>
    </w:p>
    <w:p w14:paraId="3A529DCB" w14:textId="77777777" w:rsidR="003373AE" w:rsidRPr="00C66097" w:rsidRDefault="003373AE" w:rsidP="003373AE">
      <w:pPr>
        <w:spacing w:line="480" w:lineRule="auto"/>
        <w:ind w:left="720" w:hanging="720"/>
        <w:jc w:val="left"/>
      </w:pPr>
      <w:r>
        <w:t>Norton, Noelle H. 1999. “</w:t>
      </w:r>
      <w:r w:rsidRPr="00C66097">
        <w:t>Uncovering the Dimensionality of Gender Voting in Congress</w:t>
      </w:r>
      <w:r>
        <w:t xml:space="preserve">.” </w:t>
      </w:r>
      <w:r>
        <w:rPr>
          <w:i/>
        </w:rPr>
        <w:t>Legislative Studies Quarterly</w:t>
      </w:r>
      <w:r>
        <w:t xml:space="preserve"> 24(1): 65-86.</w:t>
      </w:r>
    </w:p>
    <w:p w14:paraId="0E7C4778" w14:textId="77777777" w:rsidR="003373AE" w:rsidRPr="00E92D8B" w:rsidRDefault="003373AE" w:rsidP="003373AE">
      <w:pPr>
        <w:spacing w:line="480" w:lineRule="auto"/>
        <w:ind w:left="720" w:hanging="720"/>
        <w:jc w:val="left"/>
      </w:pPr>
      <w:r>
        <w:t xml:space="preserve">Pitkin, Hannah. 1967. </w:t>
      </w:r>
      <w:r>
        <w:rPr>
          <w:i/>
        </w:rPr>
        <w:t>The Concept of Representation</w:t>
      </w:r>
      <w:r>
        <w:t>. Berkeley, CA: University of California Press.</w:t>
      </w:r>
    </w:p>
    <w:p w14:paraId="50CE8E73" w14:textId="77777777" w:rsidR="003373AE" w:rsidRDefault="003373AE" w:rsidP="003373AE">
      <w:pPr>
        <w:spacing w:line="480" w:lineRule="auto"/>
        <w:ind w:left="720" w:hanging="720"/>
        <w:jc w:val="left"/>
      </w:pPr>
      <w:r>
        <w:t xml:space="preserve">Pratt, Henry J. 1976. </w:t>
      </w:r>
      <w:proofErr w:type="gramStart"/>
      <w:r w:rsidRPr="00777C4C">
        <w:rPr>
          <w:i/>
        </w:rPr>
        <w:t>The Gray Lobby</w:t>
      </w:r>
      <w:r>
        <w:t>.</w:t>
      </w:r>
      <w:proofErr w:type="gramEnd"/>
      <w:r>
        <w:t xml:space="preserve"> Chicago: University of Chicago Press.</w:t>
      </w:r>
    </w:p>
    <w:p w14:paraId="1F3BB309" w14:textId="77777777" w:rsidR="003373AE" w:rsidRPr="0073164E" w:rsidRDefault="003373AE" w:rsidP="003373AE">
      <w:pPr>
        <w:spacing w:line="480" w:lineRule="auto"/>
        <w:ind w:left="720" w:hanging="720"/>
        <w:jc w:val="left"/>
      </w:pPr>
      <w:r>
        <w:t xml:space="preserve">------. 1983. “National Interest Groups among the Elderly: Consolidation and Constraint.” In </w:t>
      </w:r>
      <w:r w:rsidRPr="00777C4C">
        <w:rPr>
          <w:i/>
        </w:rPr>
        <w:t>Aging and Public Policy: The Politics of Growing Old in America</w:t>
      </w:r>
      <w:r>
        <w:t>, Eds. William P. Browne and Laura Katz Olson. Westport, CT: Greenwood Press.</w:t>
      </w:r>
    </w:p>
    <w:p w14:paraId="50503144" w14:textId="77777777" w:rsidR="003373AE" w:rsidRDefault="003373AE" w:rsidP="003373AE">
      <w:pPr>
        <w:spacing w:line="480" w:lineRule="auto"/>
        <w:ind w:left="720" w:hanging="720"/>
        <w:jc w:val="left"/>
      </w:pPr>
      <w:r>
        <w:lastRenderedPageBreak/>
        <w:t xml:space="preserve">------. 1993. </w:t>
      </w:r>
      <w:r>
        <w:rPr>
          <w:i/>
        </w:rPr>
        <w:t>Gray Agendas: Interest Groups and Public Pensions in Canada, Britain, and the United States</w:t>
      </w:r>
      <w:r>
        <w:t>. Ann Arbor, MI: University of Michigan Press.</w:t>
      </w:r>
    </w:p>
    <w:p w14:paraId="2F7EE51B" w14:textId="77777777" w:rsidR="003373AE" w:rsidRDefault="003373AE" w:rsidP="003373AE">
      <w:pPr>
        <w:spacing w:line="480" w:lineRule="auto"/>
        <w:ind w:left="720" w:hanging="720"/>
        <w:jc w:val="left"/>
      </w:pPr>
      <w:proofErr w:type="spellStart"/>
      <w:r>
        <w:t>Preuhs</w:t>
      </w:r>
      <w:proofErr w:type="spellEnd"/>
      <w:r>
        <w:t>, Robert R. 2005. “</w:t>
      </w:r>
      <w:r w:rsidRPr="00B072DB">
        <w:t>Descriptive Representation, Legislative Leadership, and Direct Democracy: Latino Influence on English Only Laws in the States, 1984–2002</w:t>
      </w:r>
      <w:r>
        <w:t xml:space="preserve">.” </w:t>
      </w:r>
      <w:r>
        <w:rPr>
          <w:i/>
        </w:rPr>
        <w:t>State Politics &amp; Policy Quarterly</w:t>
      </w:r>
      <w:r>
        <w:t xml:space="preserve"> 5(3): 204-24.</w:t>
      </w:r>
    </w:p>
    <w:p w14:paraId="59B609BE" w14:textId="048DEA68" w:rsidR="008F6491" w:rsidRPr="00B072DB" w:rsidRDefault="008F6491" w:rsidP="003373AE">
      <w:pPr>
        <w:spacing w:line="480" w:lineRule="auto"/>
        <w:ind w:left="720" w:hanging="720"/>
        <w:jc w:val="left"/>
      </w:pPr>
      <w:proofErr w:type="gramStart"/>
      <w:r w:rsidRPr="008F6491">
        <w:t xml:space="preserve">Primo, David M., Matthew L. </w:t>
      </w:r>
      <w:proofErr w:type="spellStart"/>
      <w:r w:rsidRPr="008F6491">
        <w:t>Jacobsmeier</w:t>
      </w:r>
      <w:proofErr w:type="spellEnd"/>
      <w:r w:rsidRPr="008F6491">
        <w:t xml:space="preserve">, and Jeffrey </w:t>
      </w:r>
      <w:proofErr w:type="spellStart"/>
      <w:r w:rsidRPr="008F6491">
        <w:t>Milyo</w:t>
      </w:r>
      <w:proofErr w:type="spellEnd"/>
      <w:r w:rsidRPr="008F6491">
        <w:t>.</w:t>
      </w:r>
      <w:proofErr w:type="gramEnd"/>
      <w:r w:rsidRPr="008F6491">
        <w:t xml:space="preserve"> 2007. “Estimating the Impact of State Policies and Institutions with Mixed-Level Data.” </w:t>
      </w:r>
      <w:r w:rsidRPr="001206BB">
        <w:rPr>
          <w:i/>
        </w:rPr>
        <w:t>State Politics &amp; Policy Quarterly</w:t>
      </w:r>
      <w:r w:rsidRPr="008F6491">
        <w:t xml:space="preserve"> 7(4): 446–59.</w:t>
      </w:r>
    </w:p>
    <w:p w14:paraId="322809C3" w14:textId="77777777" w:rsidR="003373AE" w:rsidRDefault="003373AE" w:rsidP="003373AE">
      <w:pPr>
        <w:spacing w:line="480" w:lineRule="auto"/>
        <w:ind w:left="720" w:hanging="720"/>
        <w:jc w:val="left"/>
      </w:pPr>
      <w:proofErr w:type="spellStart"/>
      <w:r>
        <w:t>Reingold</w:t>
      </w:r>
      <w:proofErr w:type="spellEnd"/>
      <w:r>
        <w:t>, Beth. 1992. “</w:t>
      </w:r>
      <w:r w:rsidRPr="00E92D8B">
        <w:t>Concepts of Representation among Female and Male State Legislators</w:t>
      </w:r>
      <w:r>
        <w:t xml:space="preserve">.” </w:t>
      </w:r>
      <w:r>
        <w:rPr>
          <w:i/>
        </w:rPr>
        <w:t>Legislative Studies Quarterly</w:t>
      </w:r>
      <w:r>
        <w:t xml:space="preserve"> 17(4): 509-37.</w:t>
      </w:r>
    </w:p>
    <w:p w14:paraId="450B4638" w14:textId="77777777" w:rsidR="003373AE" w:rsidRPr="0010117F" w:rsidRDefault="003373AE" w:rsidP="003373AE">
      <w:pPr>
        <w:spacing w:line="480" w:lineRule="auto"/>
        <w:ind w:left="720" w:hanging="720"/>
        <w:jc w:val="left"/>
      </w:pPr>
      <w:r>
        <w:t>Rocca, Michael S., and Stacy B. Gordon. 2010. “</w:t>
      </w:r>
      <w:r w:rsidRPr="0010117F">
        <w:t>The Position-taking Value of Bill Sponsorship in Congress</w:t>
      </w:r>
      <w:r>
        <w:t xml:space="preserve">.” </w:t>
      </w:r>
      <w:r>
        <w:rPr>
          <w:i/>
        </w:rPr>
        <w:t>Political Research Quarterly</w:t>
      </w:r>
      <w:r>
        <w:t xml:space="preserve"> 63(2): 387-97.</w:t>
      </w:r>
    </w:p>
    <w:p w14:paraId="5C91BE04" w14:textId="77777777" w:rsidR="003373AE" w:rsidRPr="00B072DB" w:rsidRDefault="003373AE" w:rsidP="003373AE">
      <w:pPr>
        <w:spacing w:line="480" w:lineRule="auto"/>
        <w:ind w:left="720" w:hanging="720"/>
        <w:jc w:val="left"/>
      </w:pPr>
      <w:r>
        <w:t xml:space="preserve">Rocca, Michael S., Gabriel R. Sanchez, and Joseph </w:t>
      </w:r>
      <w:proofErr w:type="spellStart"/>
      <w:r>
        <w:t>Uscinski</w:t>
      </w:r>
      <w:proofErr w:type="spellEnd"/>
      <w:r>
        <w:t>. 2008. “</w:t>
      </w:r>
      <w:r w:rsidRPr="00B072DB">
        <w:t>Personal Attributes and Latino Voting Behavior in Congress</w:t>
      </w:r>
      <w:r>
        <w:t xml:space="preserve">.” </w:t>
      </w:r>
      <w:r>
        <w:rPr>
          <w:i/>
        </w:rPr>
        <w:t>Social Science Quarterly</w:t>
      </w:r>
      <w:r>
        <w:t xml:space="preserve"> 89(2): 392-405.</w:t>
      </w:r>
    </w:p>
    <w:p w14:paraId="5E3379F7" w14:textId="77777777" w:rsidR="003373AE" w:rsidRPr="00A424CC" w:rsidRDefault="003373AE" w:rsidP="003373AE">
      <w:pPr>
        <w:spacing w:line="480" w:lineRule="auto"/>
        <w:ind w:left="720" w:hanging="720"/>
        <w:jc w:val="left"/>
      </w:pPr>
      <w:r>
        <w:t xml:space="preserve">Rouse, Stella M. 2013. </w:t>
      </w:r>
      <w:r w:rsidRPr="00A424CC">
        <w:rPr>
          <w:i/>
        </w:rPr>
        <w:t>Latinos in the Legislative Process: Interests and Influence</w:t>
      </w:r>
      <w:r>
        <w:t>. New York: Cambridge University Press.</w:t>
      </w:r>
    </w:p>
    <w:p w14:paraId="77DAE2C0" w14:textId="77777777" w:rsidR="003373AE" w:rsidRDefault="003373AE" w:rsidP="003373AE">
      <w:pPr>
        <w:spacing w:line="480" w:lineRule="auto"/>
        <w:ind w:left="720" w:hanging="720"/>
        <w:jc w:val="left"/>
      </w:pPr>
      <w:r>
        <w:t>Rix, Sara E. 1999. “The Politics of Old A</w:t>
      </w:r>
      <w:r w:rsidRPr="00E01A55">
        <w:t>ge in the United States</w:t>
      </w:r>
      <w:r>
        <w:t xml:space="preserve">.” In </w:t>
      </w:r>
      <w:r>
        <w:rPr>
          <w:i/>
        </w:rPr>
        <w:t>The Politics of Old Age in Europe</w:t>
      </w:r>
      <w:r>
        <w:t xml:space="preserve">, Eds. </w:t>
      </w:r>
      <w:r w:rsidRPr="00E01A55">
        <w:t xml:space="preserve">Walker, A. and </w:t>
      </w:r>
      <w:proofErr w:type="spellStart"/>
      <w:r w:rsidRPr="00E01A55">
        <w:t>Naegele</w:t>
      </w:r>
      <w:proofErr w:type="spellEnd"/>
      <w:r w:rsidRPr="00E01A55">
        <w:t>, G</w:t>
      </w:r>
      <w:r>
        <w:t>. Bethlehem, PA: Open University Press.</w:t>
      </w:r>
    </w:p>
    <w:p w14:paraId="2339E0C7" w14:textId="77777777" w:rsidR="003373AE" w:rsidRDefault="003373AE" w:rsidP="003373AE">
      <w:pPr>
        <w:spacing w:line="480" w:lineRule="auto"/>
        <w:ind w:left="720" w:hanging="720"/>
        <w:jc w:val="left"/>
      </w:pPr>
      <w:r>
        <w:t>Schiller, Wendy J. 1995. “</w:t>
      </w:r>
      <w:r w:rsidRPr="00381650">
        <w:t>Senators as Political Entrepreneurs: Using Bill Sponsorship to Shape Legislative Agendas</w:t>
      </w:r>
      <w:r>
        <w:t xml:space="preserve">.” </w:t>
      </w:r>
      <w:r>
        <w:rPr>
          <w:i/>
        </w:rPr>
        <w:t>American Journal of Political Science</w:t>
      </w:r>
      <w:r>
        <w:t xml:space="preserve"> 39(1): 186-203.</w:t>
      </w:r>
    </w:p>
    <w:p w14:paraId="291CF4D6" w14:textId="725B7676" w:rsidR="00FD76BB" w:rsidRDefault="00FD76BB" w:rsidP="00FD76BB">
      <w:pPr>
        <w:spacing w:line="480" w:lineRule="auto"/>
        <w:ind w:left="720" w:hanging="720"/>
        <w:jc w:val="left"/>
      </w:pPr>
      <w:r>
        <w:t xml:space="preserve">Schulz, James H., and Robert H. </w:t>
      </w:r>
      <w:proofErr w:type="spellStart"/>
      <w:r>
        <w:t>Binstock</w:t>
      </w:r>
      <w:proofErr w:type="spellEnd"/>
      <w:r>
        <w:t xml:space="preserve">. 2008. </w:t>
      </w:r>
      <w:r w:rsidRPr="00FD76BB">
        <w:rPr>
          <w:i/>
        </w:rPr>
        <w:t>Aging Nation: The Economics and Politics of Growing Older in America</w:t>
      </w:r>
      <w:r>
        <w:t>. Baltimore, MD: Johns Hopkins University.</w:t>
      </w:r>
    </w:p>
    <w:p w14:paraId="58DE398F" w14:textId="4C75C338" w:rsidR="00FD76BB" w:rsidRPr="00FD76BB" w:rsidRDefault="00FD76BB" w:rsidP="00FD76BB">
      <w:pPr>
        <w:spacing w:line="480" w:lineRule="auto"/>
        <w:ind w:left="720" w:hanging="720"/>
        <w:jc w:val="left"/>
      </w:pPr>
      <w:r>
        <w:lastRenderedPageBreak/>
        <w:t xml:space="preserve">Sherman, Susan R., Russell A. Ward, and Mark </w:t>
      </w:r>
      <w:proofErr w:type="spellStart"/>
      <w:r>
        <w:t>LaGory</w:t>
      </w:r>
      <w:proofErr w:type="spellEnd"/>
      <w:r>
        <w:t>. 1985. “</w:t>
      </w:r>
      <w:r w:rsidRPr="00FD76BB">
        <w:t>Socialization and Aging Group Consciousness: The Effect of Neighborhood Age Concentration</w:t>
      </w:r>
      <w:r>
        <w:t xml:space="preserve">.” </w:t>
      </w:r>
      <w:r>
        <w:rPr>
          <w:i/>
        </w:rPr>
        <w:t>The Journal of Gerontology</w:t>
      </w:r>
      <w:r>
        <w:t xml:space="preserve"> 4(1): 102-9.</w:t>
      </w:r>
    </w:p>
    <w:p w14:paraId="7E7103E3" w14:textId="77777777" w:rsidR="003373AE" w:rsidRDefault="003373AE" w:rsidP="003373AE">
      <w:pPr>
        <w:spacing w:line="480" w:lineRule="auto"/>
        <w:ind w:left="720" w:hanging="720"/>
        <w:jc w:val="left"/>
      </w:pPr>
      <w:r>
        <w:t xml:space="preserve">Street, Debra. 1997. “Special Interests or Citizens’ Rights? ‘Senior Power,’ Social Security, and Medicare.” </w:t>
      </w:r>
      <w:r w:rsidRPr="005131CC">
        <w:rPr>
          <w:i/>
        </w:rPr>
        <w:t>International Journal of Health Services</w:t>
      </w:r>
      <w:r>
        <w:t xml:space="preserve"> 27(4):727-51.</w:t>
      </w:r>
    </w:p>
    <w:p w14:paraId="50AF1440" w14:textId="77777777" w:rsidR="003373AE" w:rsidRPr="00C9332C" w:rsidRDefault="003373AE" w:rsidP="003373AE">
      <w:pPr>
        <w:spacing w:line="480" w:lineRule="auto"/>
        <w:ind w:left="720" w:hanging="720"/>
        <w:jc w:val="left"/>
      </w:pPr>
      <w:proofErr w:type="spellStart"/>
      <w:r>
        <w:t>Streib</w:t>
      </w:r>
      <w:proofErr w:type="spellEnd"/>
      <w:r>
        <w:t xml:space="preserve">, Gordon F., W. Edward </w:t>
      </w:r>
      <w:proofErr w:type="spellStart"/>
      <w:r>
        <w:t>Folts</w:t>
      </w:r>
      <w:proofErr w:type="spellEnd"/>
      <w:r>
        <w:t xml:space="preserve">, and Anthony J. </w:t>
      </w:r>
      <w:proofErr w:type="spellStart"/>
      <w:r>
        <w:t>LaGreca</w:t>
      </w:r>
      <w:proofErr w:type="spellEnd"/>
      <w:r>
        <w:t>. 1985. “</w:t>
      </w:r>
      <w:r w:rsidRPr="00C9332C">
        <w:t>Autonomy, Power, and Decision-Making in Thirty-six Retirement Communities</w:t>
      </w:r>
      <w:r>
        <w:t xml:space="preserve">.” </w:t>
      </w:r>
      <w:r>
        <w:rPr>
          <w:i/>
        </w:rPr>
        <w:t>The Gerontologist</w:t>
      </w:r>
      <w:r>
        <w:t xml:space="preserve"> 25(4): 403-9.</w:t>
      </w:r>
    </w:p>
    <w:p w14:paraId="67A8AD98" w14:textId="77777777" w:rsidR="003373AE" w:rsidRDefault="003373AE" w:rsidP="003373AE">
      <w:pPr>
        <w:spacing w:line="480" w:lineRule="auto"/>
        <w:ind w:left="720" w:hanging="720"/>
        <w:jc w:val="left"/>
      </w:pPr>
      <w:r>
        <w:t xml:space="preserve">Swain, Carol M. 1993. </w:t>
      </w:r>
      <w:r w:rsidRPr="00F35F56">
        <w:rPr>
          <w:i/>
        </w:rPr>
        <w:t>Black Faces, Black Interests: The Representation of African Americans in Congress</w:t>
      </w:r>
      <w:r>
        <w:t>. Cambridge: Harvard University Press.</w:t>
      </w:r>
    </w:p>
    <w:p w14:paraId="4D1891F6" w14:textId="77777777" w:rsidR="003373AE" w:rsidRPr="004F266B" w:rsidRDefault="003373AE" w:rsidP="003373AE">
      <w:pPr>
        <w:spacing w:line="480" w:lineRule="auto"/>
        <w:ind w:left="720" w:hanging="720"/>
        <w:jc w:val="left"/>
      </w:pPr>
      <w:proofErr w:type="spellStart"/>
      <w:r>
        <w:t>Swers</w:t>
      </w:r>
      <w:proofErr w:type="spellEnd"/>
      <w:r>
        <w:t>, Michele L. 1998. “</w:t>
      </w:r>
      <w:r w:rsidRPr="004F266B">
        <w:t>Are Women More Likely to Vote for Women's Issue Bills than Their Male Colleagues?</w:t>
      </w:r>
      <w:r>
        <w:t xml:space="preserve">” </w:t>
      </w:r>
      <w:r>
        <w:rPr>
          <w:i/>
        </w:rPr>
        <w:t>Legislative Studies Quarterly</w:t>
      </w:r>
      <w:r>
        <w:t xml:space="preserve"> 23(3): 435-48.</w:t>
      </w:r>
    </w:p>
    <w:p w14:paraId="42A459DE" w14:textId="77777777" w:rsidR="003373AE" w:rsidRDefault="003373AE" w:rsidP="003373AE">
      <w:pPr>
        <w:spacing w:line="480" w:lineRule="auto"/>
        <w:ind w:left="720" w:hanging="720"/>
        <w:jc w:val="left"/>
      </w:pPr>
      <w:r>
        <w:t xml:space="preserve">------. 2002. </w:t>
      </w:r>
      <w:r w:rsidRPr="005B2E25">
        <w:rPr>
          <w:i/>
        </w:rPr>
        <w:t>The Difference Women Make: The Policy Impact of Women in Congress</w:t>
      </w:r>
      <w:r>
        <w:t>. Chicago: University of Chicago Press.</w:t>
      </w:r>
    </w:p>
    <w:p w14:paraId="61784693" w14:textId="77777777" w:rsidR="003373AE" w:rsidRDefault="003373AE" w:rsidP="003373AE">
      <w:pPr>
        <w:spacing w:line="480" w:lineRule="auto"/>
        <w:ind w:left="720" w:hanging="720"/>
        <w:jc w:val="left"/>
      </w:pPr>
      <w:r>
        <w:t xml:space="preserve">Tate, Katherine. 2003. </w:t>
      </w:r>
      <w:r w:rsidRPr="00F35F56">
        <w:rPr>
          <w:i/>
        </w:rPr>
        <w:t>Black Faces in the Mirror: African Americans and Their Representatives in the U.S. Congress</w:t>
      </w:r>
      <w:r>
        <w:t>. Princeton, NJ: Princeton University Press.</w:t>
      </w:r>
    </w:p>
    <w:p w14:paraId="5E385CA7" w14:textId="77777777" w:rsidR="003373AE" w:rsidRPr="004F266B" w:rsidRDefault="003373AE" w:rsidP="003373AE">
      <w:pPr>
        <w:spacing w:line="480" w:lineRule="auto"/>
        <w:ind w:left="720" w:hanging="720"/>
        <w:jc w:val="left"/>
      </w:pPr>
      <w:proofErr w:type="spellStart"/>
      <w:r>
        <w:t>Tatalovich</w:t>
      </w:r>
      <w:proofErr w:type="spellEnd"/>
      <w:r>
        <w:t xml:space="preserve">, Raymond, and David </w:t>
      </w:r>
      <w:proofErr w:type="spellStart"/>
      <w:r>
        <w:t>Schier</w:t>
      </w:r>
      <w:proofErr w:type="spellEnd"/>
      <w:r>
        <w:t>. 1993. “</w:t>
      </w:r>
      <w:r w:rsidRPr="004F266B">
        <w:t>The Persistence of Ideological Cleavage in Voting On Abortion Legislation in the House of Representatives, 1973-1988</w:t>
      </w:r>
      <w:r>
        <w:t xml:space="preserve">.” </w:t>
      </w:r>
      <w:r>
        <w:rPr>
          <w:i/>
        </w:rPr>
        <w:t>American Politics Research</w:t>
      </w:r>
      <w:r>
        <w:t xml:space="preserve"> 21(1): 125-39.</w:t>
      </w:r>
    </w:p>
    <w:p w14:paraId="3347580C" w14:textId="77777777" w:rsidR="003373AE" w:rsidRDefault="003373AE" w:rsidP="003373AE">
      <w:pPr>
        <w:spacing w:line="480" w:lineRule="auto"/>
        <w:ind w:left="720" w:hanging="720"/>
        <w:jc w:val="left"/>
      </w:pPr>
      <w:proofErr w:type="spellStart"/>
      <w:r>
        <w:t>Trela</w:t>
      </w:r>
      <w:proofErr w:type="spellEnd"/>
      <w:r>
        <w:t>, James E. 1971. “</w:t>
      </w:r>
      <w:r w:rsidRPr="005131CC">
        <w:t>Some Political Consequences of Senior Center and Other Old Age Group Memberships</w:t>
      </w:r>
      <w:r>
        <w:t xml:space="preserve">.” </w:t>
      </w:r>
      <w:r>
        <w:rPr>
          <w:i/>
        </w:rPr>
        <w:t>The Gerontologist</w:t>
      </w:r>
      <w:r>
        <w:t xml:space="preserve"> 11(2): 118-23.</w:t>
      </w:r>
    </w:p>
    <w:p w14:paraId="530994FB" w14:textId="77777777" w:rsidR="003373AE" w:rsidRDefault="003373AE" w:rsidP="003373AE">
      <w:pPr>
        <w:spacing w:line="480" w:lineRule="auto"/>
        <w:ind w:left="720" w:hanging="720"/>
        <w:jc w:val="left"/>
        <w:rPr>
          <w:rStyle w:val="Hyperlink"/>
        </w:rPr>
      </w:pPr>
      <w:proofErr w:type="gramStart"/>
      <w:r w:rsidRPr="0073164E">
        <w:lastRenderedPageBreak/>
        <w:t>U.S. Census Bureau</w:t>
      </w:r>
      <w:r>
        <w:t>.</w:t>
      </w:r>
      <w:proofErr w:type="gramEnd"/>
      <w:r>
        <w:t xml:space="preserve"> 2011. “</w:t>
      </w:r>
      <w:r w:rsidRPr="0073164E">
        <w:t>The Older Population: 2010</w:t>
      </w:r>
      <w:r>
        <w:t xml:space="preserve">” </w:t>
      </w:r>
      <w:hyperlink r:id="rId11" w:history="1">
        <w:r w:rsidRPr="00815C1C">
          <w:rPr>
            <w:rStyle w:val="Hyperlink"/>
          </w:rPr>
          <w:t>http://www.census.gov/prod/cen2010/briefs/c2010br-09.pdf</w:t>
        </w:r>
      </w:hyperlink>
    </w:p>
    <w:p w14:paraId="70A7193A" w14:textId="3F8EE483" w:rsidR="008C182C" w:rsidRDefault="008C182C" w:rsidP="003373AE">
      <w:pPr>
        <w:spacing w:line="480" w:lineRule="auto"/>
        <w:ind w:left="720" w:hanging="720"/>
        <w:jc w:val="left"/>
        <w:rPr>
          <w:rStyle w:val="Hyperlink"/>
        </w:rPr>
      </w:pPr>
      <w:r>
        <w:t>------.</w:t>
      </w:r>
      <w:r w:rsidR="00816571">
        <w:t xml:space="preserve"> 2014. “65+ in the United States: 2010.” P23-212, U.S. Government Printing Office, Washington, D.C. </w:t>
      </w:r>
    </w:p>
    <w:p w14:paraId="31A54C1C" w14:textId="77777777" w:rsidR="003373AE" w:rsidRPr="004F1AA3" w:rsidRDefault="003373AE" w:rsidP="003373AE">
      <w:pPr>
        <w:spacing w:line="480" w:lineRule="auto"/>
        <w:ind w:left="720" w:hanging="720"/>
        <w:jc w:val="left"/>
      </w:pPr>
      <w:proofErr w:type="spellStart"/>
      <w:r>
        <w:t>Wawro</w:t>
      </w:r>
      <w:proofErr w:type="spellEnd"/>
      <w:r>
        <w:t xml:space="preserve">, Gregory. 2001. </w:t>
      </w:r>
      <w:r w:rsidRPr="004F1AA3">
        <w:rPr>
          <w:i/>
        </w:rPr>
        <w:t>Legislative Entrepreneurship in the U.S. House of Representatives</w:t>
      </w:r>
      <w:r>
        <w:t>. Ann Arbor, MI: University of Michigan Press.</w:t>
      </w:r>
    </w:p>
    <w:p w14:paraId="2D65895E" w14:textId="77777777" w:rsidR="003373AE" w:rsidRDefault="003373AE" w:rsidP="003373AE">
      <w:pPr>
        <w:spacing w:line="480" w:lineRule="auto"/>
        <w:ind w:left="720" w:hanging="720"/>
        <w:jc w:val="left"/>
      </w:pPr>
      <w:r>
        <w:t>Weaver, Jerry L. 1976. “</w:t>
      </w:r>
      <w:r w:rsidRPr="005131CC">
        <w:t>The Elderly as a Political Community: The Case of National Health Policy</w:t>
      </w:r>
      <w:r>
        <w:t xml:space="preserve">.” </w:t>
      </w:r>
      <w:r>
        <w:rPr>
          <w:i/>
        </w:rPr>
        <w:t>The Western Political Quarterly</w:t>
      </w:r>
      <w:r>
        <w:t xml:space="preserve"> 29(4): 610-19.</w:t>
      </w:r>
    </w:p>
    <w:p w14:paraId="2B53A1A8" w14:textId="77777777" w:rsidR="003373AE" w:rsidRDefault="003373AE" w:rsidP="003373AE">
      <w:pPr>
        <w:spacing w:line="480" w:lineRule="auto"/>
        <w:ind w:left="720" w:hanging="720"/>
        <w:jc w:val="left"/>
      </w:pPr>
      <w:proofErr w:type="spellStart"/>
      <w:r>
        <w:t>Whitby</w:t>
      </w:r>
      <w:proofErr w:type="spellEnd"/>
      <w:r>
        <w:t xml:space="preserve">, Kenny J. 1996. </w:t>
      </w:r>
      <w:r w:rsidRPr="00305477">
        <w:rPr>
          <w:i/>
        </w:rPr>
        <w:t>The Color of Representation: Congressional Behavior and Black Interests</w:t>
      </w:r>
      <w:r>
        <w:t>. Ann Arbor, MI: Michigan University Press.</w:t>
      </w:r>
    </w:p>
    <w:p w14:paraId="426D80F3" w14:textId="77777777" w:rsidR="003373AE" w:rsidRPr="006460AB" w:rsidRDefault="003373AE" w:rsidP="003373AE">
      <w:pPr>
        <w:spacing w:line="480" w:lineRule="auto"/>
        <w:ind w:left="720" w:hanging="720"/>
        <w:jc w:val="left"/>
        <w:rPr>
          <w:i/>
        </w:rPr>
      </w:pPr>
      <w:proofErr w:type="spellStart"/>
      <w:r>
        <w:t>Whitby</w:t>
      </w:r>
      <w:proofErr w:type="spellEnd"/>
      <w:r>
        <w:t xml:space="preserve">, Kenny J., and Franklin D. Gilliam. 1998. </w:t>
      </w:r>
      <w:r w:rsidRPr="006460AB">
        <w:t xml:space="preserve">“Line Drawing and Minorities.” in </w:t>
      </w:r>
      <w:r w:rsidRPr="006460AB">
        <w:rPr>
          <w:i/>
        </w:rPr>
        <w:t>Great Theatre: the American Congress in the 1990s</w:t>
      </w:r>
      <w:r>
        <w:t xml:space="preserve">. </w:t>
      </w:r>
      <w:proofErr w:type="gramStart"/>
      <w:r>
        <w:t>Eds.,</w:t>
      </w:r>
      <w:r w:rsidRPr="006460AB">
        <w:t xml:space="preserve"> Herbert F. We</w:t>
      </w:r>
      <w:r>
        <w:t>isberg and Samuel C. Patterson.</w:t>
      </w:r>
      <w:proofErr w:type="gramEnd"/>
      <w:r w:rsidRPr="006460AB">
        <w:t xml:space="preserve"> </w:t>
      </w:r>
      <w:r>
        <w:t>New York</w:t>
      </w:r>
      <w:r w:rsidRPr="006460AB">
        <w:t>: Cambridge University Press.</w:t>
      </w:r>
    </w:p>
    <w:p w14:paraId="7DF8B8B9" w14:textId="77777777" w:rsidR="003373AE" w:rsidRDefault="003373AE" w:rsidP="003373AE">
      <w:pPr>
        <w:spacing w:line="480" w:lineRule="auto"/>
        <w:ind w:left="720" w:hanging="720"/>
        <w:jc w:val="left"/>
      </w:pPr>
      <w:proofErr w:type="spellStart"/>
      <w:r>
        <w:t>Whitby</w:t>
      </w:r>
      <w:proofErr w:type="spellEnd"/>
      <w:r>
        <w:t>, Kenny J., and George A. Krause. 2001. “</w:t>
      </w:r>
      <w:r w:rsidRPr="00305477">
        <w:t>Race, Issue Heterogeneity and Public Policy: The Republican Revolution in the 104th US Congress and the Representation of African-American Policy Interests</w:t>
      </w:r>
      <w:r>
        <w:t xml:space="preserve">.” </w:t>
      </w:r>
      <w:r>
        <w:rPr>
          <w:i/>
        </w:rPr>
        <w:t>British Journal of Political Science</w:t>
      </w:r>
      <w:r>
        <w:t xml:space="preserve"> 31(3): 555-72.</w:t>
      </w:r>
    </w:p>
    <w:p w14:paraId="5583CF0C" w14:textId="00688807" w:rsidR="003373AE" w:rsidRPr="00463491" w:rsidRDefault="003373AE" w:rsidP="003373AE">
      <w:pPr>
        <w:spacing w:line="480" w:lineRule="auto"/>
        <w:ind w:left="720" w:hanging="720"/>
        <w:jc w:val="left"/>
      </w:pPr>
      <w:r>
        <w:t>Wilson, Walter C. 2010. “</w:t>
      </w:r>
      <w:r w:rsidRPr="00B072DB">
        <w:t>Descriptive Representation and Latino Interest Bill Sponsorship in Congress</w:t>
      </w:r>
      <w:r>
        <w:t xml:space="preserve">.” </w:t>
      </w:r>
      <w:r>
        <w:rPr>
          <w:i/>
        </w:rPr>
        <w:t>Social Science Quarterly</w:t>
      </w:r>
      <w:r>
        <w:t xml:space="preserve"> 91(4): 1043-62.</w:t>
      </w:r>
    </w:p>
    <w:p w14:paraId="3CAAE15E" w14:textId="77777777" w:rsidR="003373AE" w:rsidRDefault="003373AE" w:rsidP="003373AE">
      <w:pPr>
        <w:spacing w:line="480" w:lineRule="auto"/>
        <w:ind w:left="720" w:hanging="720"/>
        <w:jc w:val="left"/>
      </w:pPr>
      <w:r>
        <w:t xml:space="preserve">Wolfinger, Raymond E., and Steven J. Rosenstone. </w:t>
      </w:r>
      <w:r>
        <w:rPr>
          <w:i/>
        </w:rPr>
        <w:t xml:space="preserve">Who Votes? </w:t>
      </w:r>
      <w:r>
        <w:t>New Haven: Yale University Press.</w:t>
      </w:r>
    </w:p>
    <w:p w14:paraId="26D56688" w14:textId="6C395922" w:rsidR="00A26FAB" w:rsidRDefault="00A26FAB">
      <w:r>
        <w:lastRenderedPageBreak/>
        <w:br w:type="page"/>
      </w:r>
    </w:p>
    <w:tbl>
      <w:tblPr>
        <w:tblW w:w="5000" w:type="pct"/>
        <w:tblLayout w:type="fixed"/>
        <w:tblLook w:val="04A0" w:firstRow="1" w:lastRow="0" w:firstColumn="1" w:lastColumn="0" w:noHBand="0" w:noVBand="1"/>
      </w:tblPr>
      <w:tblGrid>
        <w:gridCol w:w="7759"/>
        <w:gridCol w:w="718"/>
        <w:gridCol w:w="1099"/>
      </w:tblGrid>
      <w:tr w:rsidR="00237939" w:rsidRPr="00237939" w14:paraId="08A7AC54" w14:textId="77777777" w:rsidTr="003B2A02">
        <w:trPr>
          <w:trHeight w:val="360"/>
        </w:trPr>
        <w:tc>
          <w:tcPr>
            <w:tcW w:w="5000" w:type="pct"/>
            <w:gridSpan w:val="3"/>
            <w:tcBorders>
              <w:top w:val="nil"/>
              <w:left w:val="nil"/>
              <w:bottom w:val="double" w:sz="6" w:space="0" w:color="auto"/>
              <w:right w:val="nil"/>
            </w:tcBorders>
            <w:shd w:val="clear" w:color="auto" w:fill="auto"/>
            <w:vAlign w:val="bottom"/>
            <w:hideMark/>
          </w:tcPr>
          <w:p w14:paraId="0BB3B807" w14:textId="351FFA63" w:rsidR="00237939" w:rsidRPr="00237939" w:rsidRDefault="00237939" w:rsidP="00237939">
            <w:pPr>
              <w:rPr>
                <w:rFonts w:eastAsia="Times New Roman" w:cs="Times New Roman"/>
                <w:b/>
                <w:bCs/>
                <w:smallCaps/>
                <w:color w:val="000000"/>
                <w:sz w:val="22"/>
              </w:rPr>
            </w:pPr>
            <w:r w:rsidRPr="00237939">
              <w:rPr>
                <w:rFonts w:eastAsia="Times New Roman" w:cs="Times New Roman"/>
                <w:b/>
                <w:bCs/>
                <w:smallCaps/>
                <w:color w:val="000000"/>
                <w:sz w:val="22"/>
              </w:rPr>
              <w:lastRenderedPageBreak/>
              <w:t>TABLE 1</w:t>
            </w:r>
            <w:r w:rsidRPr="00237939">
              <w:rPr>
                <w:rFonts w:eastAsia="Times New Roman" w:cs="Times New Roman"/>
                <w:b/>
                <w:bCs/>
                <w:smallCaps/>
                <w:color w:val="000000"/>
                <w:sz w:val="22"/>
              </w:rPr>
              <w:br/>
              <w:t>"Senior Bills" by Policy Agendas Project Issue Topic</w:t>
            </w:r>
            <w:r w:rsidR="00CD72AA" w:rsidRPr="00CD72AA">
              <w:rPr>
                <w:rFonts w:eastAsia="Times New Roman" w:cs="Times New Roman"/>
                <w:b/>
                <w:bCs/>
                <w:smallCaps/>
                <w:color w:val="000000"/>
                <w:sz w:val="22"/>
              </w:rPr>
              <w:t>, 109th and 110th Congresses</w:t>
            </w:r>
          </w:p>
        </w:tc>
      </w:tr>
      <w:tr w:rsidR="00237939" w:rsidRPr="00237939" w14:paraId="1EB56AC8" w14:textId="77777777" w:rsidTr="00A26FAB">
        <w:trPr>
          <w:trHeight w:val="315"/>
        </w:trPr>
        <w:tc>
          <w:tcPr>
            <w:tcW w:w="4051" w:type="pct"/>
            <w:tcBorders>
              <w:top w:val="nil"/>
              <w:left w:val="nil"/>
              <w:bottom w:val="single" w:sz="4" w:space="0" w:color="auto"/>
              <w:right w:val="nil"/>
            </w:tcBorders>
            <w:shd w:val="clear" w:color="auto" w:fill="auto"/>
            <w:noWrap/>
            <w:vAlign w:val="bottom"/>
            <w:hideMark/>
          </w:tcPr>
          <w:p w14:paraId="238AC671"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PAP issue topic</w:t>
            </w:r>
          </w:p>
        </w:tc>
        <w:tc>
          <w:tcPr>
            <w:tcW w:w="375" w:type="pct"/>
            <w:tcBorders>
              <w:top w:val="nil"/>
              <w:left w:val="nil"/>
              <w:bottom w:val="single" w:sz="4" w:space="0" w:color="auto"/>
              <w:right w:val="nil"/>
            </w:tcBorders>
            <w:shd w:val="clear" w:color="auto" w:fill="auto"/>
            <w:noWrap/>
            <w:vAlign w:val="center"/>
            <w:hideMark/>
          </w:tcPr>
          <w:p w14:paraId="1DEBB22C"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N</w:t>
            </w:r>
          </w:p>
        </w:tc>
        <w:tc>
          <w:tcPr>
            <w:tcW w:w="574" w:type="pct"/>
            <w:tcBorders>
              <w:top w:val="nil"/>
              <w:left w:val="nil"/>
              <w:bottom w:val="single" w:sz="4" w:space="0" w:color="auto"/>
              <w:right w:val="nil"/>
            </w:tcBorders>
            <w:shd w:val="clear" w:color="auto" w:fill="auto"/>
            <w:noWrap/>
            <w:vAlign w:val="center"/>
            <w:hideMark/>
          </w:tcPr>
          <w:p w14:paraId="761F02A5"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Pct.</w:t>
            </w:r>
          </w:p>
        </w:tc>
      </w:tr>
      <w:tr w:rsidR="00237939" w:rsidRPr="00237939" w14:paraId="0D627B44" w14:textId="77777777" w:rsidTr="00A26FAB">
        <w:trPr>
          <w:trHeight w:val="152"/>
        </w:trPr>
        <w:tc>
          <w:tcPr>
            <w:tcW w:w="4051" w:type="pct"/>
            <w:tcBorders>
              <w:top w:val="nil"/>
              <w:left w:val="nil"/>
              <w:bottom w:val="nil"/>
              <w:right w:val="nil"/>
            </w:tcBorders>
            <w:shd w:val="clear" w:color="auto" w:fill="auto"/>
            <w:noWrap/>
            <w:vAlign w:val="bottom"/>
            <w:hideMark/>
          </w:tcPr>
          <w:p w14:paraId="30CE316E" w14:textId="77777777" w:rsidR="00237939" w:rsidRPr="00237939" w:rsidRDefault="00237939" w:rsidP="00237939">
            <w:pPr>
              <w:jc w:val="left"/>
              <w:rPr>
                <w:rFonts w:eastAsia="Times New Roman" w:cs="Times New Roman"/>
                <w:color w:val="000000"/>
                <w:sz w:val="6"/>
                <w:szCs w:val="6"/>
              </w:rPr>
            </w:pPr>
          </w:p>
        </w:tc>
        <w:tc>
          <w:tcPr>
            <w:tcW w:w="375" w:type="pct"/>
            <w:tcBorders>
              <w:top w:val="nil"/>
              <w:left w:val="nil"/>
              <w:bottom w:val="nil"/>
              <w:right w:val="nil"/>
            </w:tcBorders>
            <w:shd w:val="clear" w:color="auto" w:fill="auto"/>
            <w:noWrap/>
            <w:vAlign w:val="center"/>
            <w:hideMark/>
          </w:tcPr>
          <w:p w14:paraId="714B1A55" w14:textId="77777777" w:rsidR="00237939" w:rsidRPr="00237939" w:rsidRDefault="00237939" w:rsidP="00237939">
            <w:pPr>
              <w:jc w:val="left"/>
              <w:rPr>
                <w:rFonts w:eastAsia="Times New Roman" w:cs="Times New Roman"/>
                <w:color w:val="000000"/>
                <w:sz w:val="6"/>
                <w:szCs w:val="6"/>
              </w:rPr>
            </w:pPr>
          </w:p>
        </w:tc>
        <w:tc>
          <w:tcPr>
            <w:tcW w:w="574" w:type="pct"/>
            <w:tcBorders>
              <w:top w:val="nil"/>
              <w:left w:val="nil"/>
              <w:bottom w:val="nil"/>
              <w:right w:val="nil"/>
            </w:tcBorders>
            <w:shd w:val="clear" w:color="auto" w:fill="auto"/>
            <w:noWrap/>
            <w:vAlign w:val="center"/>
            <w:hideMark/>
          </w:tcPr>
          <w:p w14:paraId="693E12C2" w14:textId="77777777" w:rsidR="00237939" w:rsidRPr="00237939" w:rsidRDefault="00237939" w:rsidP="00237939">
            <w:pPr>
              <w:jc w:val="left"/>
              <w:rPr>
                <w:rFonts w:eastAsia="Times New Roman" w:cs="Times New Roman"/>
                <w:color w:val="000000"/>
                <w:sz w:val="6"/>
                <w:szCs w:val="6"/>
              </w:rPr>
            </w:pPr>
          </w:p>
        </w:tc>
      </w:tr>
      <w:tr w:rsidR="00237939" w:rsidRPr="00237939" w14:paraId="6B69042E" w14:textId="77777777" w:rsidTr="00A26FAB">
        <w:trPr>
          <w:trHeight w:val="300"/>
        </w:trPr>
        <w:tc>
          <w:tcPr>
            <w:tcW w:w="4051" w:type="pct"/>
            <w:tcBorders>
              <w:top w:val="nil"/>
              <w:left w:val="nil"/>
              <w:bottom w:val="nil"/>
              <w:right w:val="nil"/>
            </w:tcBorders>
            <w:shd w:val="clear" w:color="auto" w:fill="auto"/>
            <w:noWrap/>
            <w:vAlign w:val="center"/>
            <w:hideMark/>
          </w:tcPr>
          <w:p w14:paraId="161F8A91"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204: "Age discrimination"</w:t>
            </w:r>
          </w:p>
        </w:tc>
        <w:tc>
          <w:tcPr>
            <w:tcW w:w="375" w:type="pct"/>
            <w:tcBorders>
              <w:top w:val="nil"/>
              <w:left w:val="nil"/>
              <w:bottom w:val="nil"/>
              <w:right w:val="nil"/>
            </w:tcBorders>
            <w:shd w:val="clear" w:color="auto" w:fill="auto"/>
            <w:noWrap/>
            <w:vAlign w:val="center"/>
            <w:hideMark/>
          </w:tcPr>
          <w:p w14:paraId="53138C41"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w:t>
            </w:r>
          </w:p>
        </w:tc>
        <w:tc>
          <w:tcPr>
            <w:tcW w:w="574" w:type="pct"/>
            <w:tcBorders>
              <w:top w:val="nil"/>
              <w:left w:val="nil"/>
              <w:bottom w:val="nil"/>
              <w:right w:val="nil"/>
            </w:tcBorders>
            <w:shd w:val="clear" w:color="auto" w:fill="auto"/>
            <w:noWrap/>
            <w:vAlign w:val="center"/>
            <w:hideMark/>
          </w:tcPr>
          <w:p w14:paraId="2FF88091"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0.2%</w:t>
            </w:r>
          </w:p>
        </w:tc>
      </w:tr>
      <w:tr w:rsidR="00237939" w:rsidRPr="00237939" w14:paraId="25E7C406" w14:textId="77777777" w:rsidTr="00A26FAB">
        <w:trPr>
          <w:trHeight w:val="300"/>
        </w:trPr>
        <w:tc>
          <w:tcPr>
            <w:tcW w:w="4051" w:type="pct"/>
            <w:tcBorders>
              <w:top w:val="nil"/>
              <w:left w:val="nil"/>
              <w:bottom w:val="nil"/>
              <w:right w:val="nil"/>
            </w:tcBorders>
            <w:shd w:val="clear" w:color="auto" w:fill="auto"/>
            <w:noWrap/>
            <w:vAlign w:val="center"/>
            <w:hideMark/>
          </w:tcPr>
          <w:p w14:paraId="36D239D2"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 xml:space="preserve">300: </w:t>
            </w:r>
            <w:r w:rsidR="00791CEE" w:rsidRPr="00237939">
              <w:rPr>
                <w:rFonts w:eastAsia="Times New Roman" w:cs="Times New Roman"/>
                <w:color w:val="000000"/>
                <w:sz w:val="22"/>
              </w:rPr>
              <w:t>"</w:t>
            </w:r>
            <w:r w:rsidRPr="00237939">
              <w:rPr>
                <w:rFonts w:eastAsia="Times New Roman" w:cs="Times New Roman"/>
                <w:color w:val="000000"/>
                <w:sz w:val="22"/>
              </w:rPr>
              <w:t>Health: General</w:t>
            </w:r>
            <w:r w:rsidR="00791CEE" w:rsidRPr="00237939">
              <w:rPr>
                <w:rFonts w:eastAsia="Times New Roman" w:cs="Times New Roman"/>
                <w:color w:val="000000"/>
                <w:sz w:val="22"/>
              </w:rPr>
              <w:t>"</w:t>
            </w:r>
          </w:p>
        </w:tc>
        <w:tc>
          <w:tcPr>
            <w:tcW w:w="375" w:type="pct"/>
            <w:tcBorders>
              <w:top w:val="nil"/>
              <w:left w:val="nil"/>
              <w:bottom w:val="nil"/>
              <w:right w:val="nil"/>
            </w:tcBorders>
            <w:shd w:val="clear" w:color="auto" w:fill="auto"/>
            <w:noWrap/>
            <w:vAlign w:val="center"/>
            <w:hideMark/>
          </w:tcPr>
          <w:p w14:paraId="3A00F05A"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8</w:t>
            </w:r>
          </w:p>
        </w:tc>
        <w:tc>
          <w:tcPr>
            <w:tcW w:w="574" w:type="pct"/>
            <w:tcBorders>
              <w:top w:val="nil"/>
              <w:left w:val="nil"/>
              <w:bottom w:val="nil"/>
              <w:right w:val="nil"/>
            </w:tcBorders>
            <w:shd w:val="clear" w:color="auto" w:fill="auto"/>
            <w:noWrap/>
            <w:vAlign w:val="center"/>
            <w:hideMark/>
          </w:tcPr>
          <w:p w14:paraId="511175F9"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1.7%</w:t>
            </w:r>
          </w:p>
        </w:tc>
      </w:tr>
      <w:tr w:rsidR="00237939" w:rsidRPr="00237939" w14:paraId="03385B84" w14:textId="77777777" w:rsidTr="00A26FAB">
        <w:trPr>
          <w:trHeight w:val="300"/>
        </w:trPr>
        <w:tc>
          <w:tcPr>
            <w:tcW w:w="4051" w:type="pct"/>
            <w:tcBorders>
              <w:top w:val="nil"/>
              <w:left w:val="nil"/>
              <w:bottom w:val="nil"/>
              <w:right w:val="nil"/>
            </w:tcBorders>
            <w:shd w:val="clear" w:color="auto" w:fill="auto"/>
            <w:noWrap/>
            <w:vAlign w:val="center"/>
            <w:hideMark/>
          </w:tcPr>
          <w:p w14:paraId="4757E99B"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301: "Comprehensive health care reform"</w:t>
            </w:r>
          </w:p>
        </w:tc>
        <w:tc>
          <w:tcPr>
            <w:tcW w:w="375" w:type="pct"/>
            <w:tcBorders>
              <w:top w:val="nil"/>
              <w:left w:val="nil"/>
              <w:bottom w:val="nil"/>
              <w:right w:val="nil"/>
            </w:tcBorders>
            <w:shd w:val="clear" w:color="auto" w:fill="auto"/>
            <w:noWrap/>
            <w:vAlign w:val="center"/>
            <w:hideMark/>
          </w:tcPr>
          <w:p w14:paraId="12A9A778"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14</w:t>
            </w:r>
          </w:p>
        </w:tc>
        <w:tc>
          <w:tcPr>
            <w:tcW w:w="574" w:type="pct"/>
            <w:tcBorders>
              <w:top w:val="nil"/>
              <w:left w:val="nil"/>
              <w:bottom w:val="nil"/>
              <w:right w:val="nil"/>
            </w:tcBorders>
            <w:shd w:val="clear" w:color="auto" w:fill="auto"/>
            <w:noWrap/>
            <w:vAlign w:val="center"/>
            <w:hideMark/>
          </w:tcPr>
          <w:p w14:paraId="118A5700"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3.0%</w:t>
            </w:r>
          </w:p>
        </w:tc>
      </w:tr>
      <w:tr w:rsidR="00237939" w:rsidRPr="00237939" w14:paraId="69E450CD" w14:textId="77777777" w:rsidTr="00A26FAB">
        <w:trPr>
          <w:trHeight w:val="300"/>
        </w:trPr>
        <w:tc>
          <w:tcPr>
            <w:tcW w:w="4051" w:type="pct"/>
            <w:tcBorders>
              <w:top w:val="nil"/>
              <w:left w:val="nil"/>
              <w:bottom w:val="nil"/>
              <w:right w:val="nil"/>
            </w:tcBorders>
            <w:shd w:val="clear" w:color="auto" w:fill="auto"/>
            <w:noWrap/>
            <w:vAlign w:val="center"/>
            <w:hideMark/>
          </w:tcPr>
          <w:p w14:paraId="241B997E"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302: "Insurance reform, availability, and cost"</w:t>
            </w:r>
          </w:p>
        </w:tc>
        <w:tc>
          <w:tcPr>
            <w:tcW w:w="375" w:type="pct"/>
            <w:tcBorders>
              <w:top w:val="nil"/>
              <w:left w:val="nil"/>
              <w:bottom w:val="nil"/>
              <w:right w:val="nil"/>
            </w:tcBorders>
            <w:shd w:val="clear" w:color="auto" w:fill="auto"/>
            <w:noWrap/>
            <w:vAlign w:val="center"/>
            <w:hideMark/>
          </w:tcPr>
          <w:p w14:paraId="51DC35A4"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80</w:t>
            </w:r>
          </w:p>
        </w:tc>
        <w:tc>
          <w:tcPr>
            <w:tcW w:w="574" w:type="pct"/>
            <w:tcBorders>
              <w:top w:val="nil"/>
              <w:left w:val="nil"/>
              <w:bottom w:val="nil"/>
              <w:right w:val="nil"/>
            </w:tcBorders>
            <w:shd w:val="clear" w:color="auto" w:fill="auto"/>
            <w:noWrap/>
            <w:vAlign w:val="center"/>
            <w:hideMark/>
          </w:tcPr>
          <w:p w14:paraId="0802AE45"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17.3%</w:t>
            </w:r>
          </w:p>
        </w:tc>
      </w:tr>
      <w:tr w:rsidR="00237939" w:rsidRPr="00237939" w14:paraId="66E13BFD" w14:textId="77777777" w:rsidTr="00A26FAB">
        <w:trPr>
          <w:trHeight w:val="300"/>
        </w:trPr>
        <w:tc>
          <w:tcPr>
            <w:tcW w:w="4051" w:type="pct"/>
            <w:tcBorders>
              <w:top w:val="nil"/>
              <w:left w:val="nil"/>
              <w:bottom w:val="nil"/>
              <w:right w:val="nil"/>
            </w:tcBorders>
            <w:shd w:val="clear" w:color="auto" w:fill="auto"/>
            <w:noWrap/>
            <w:vAlign w:val="center"/>
            <w:hideMark/>
          </w:tcPr>
          <w:p w14:paraId="76FCAA1A"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322: "Facilities construction, regulation, and payments"</w:t>
            </w:r>
          </w:p>
        </w:tc>
        <w:tc>
          <w:tcPr>
            <w:tcW w:w="375" w:type="pct"/>
            <w:tcBorders>
              <w:top w:val="nil"/>
              <w:left w:val="nil"/>
              <w:bottom w:val="nil"/>
              <w:right w:val="nil"/>
            </w:tcBorders>
            <w:shd w:val="clear" w:color="auto" w:fill="auto"/>
            <w:noWrap/>
            <w:vAlign w:val="center"/>
            <w:hideMark/>
          </w:tcPr>
          <w:p w14:paraId="56169B49"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43</w:t>
            </w:r>
          </w:p>
        </w:tc>
        <w:tc>
          <w:tcPr>
            <w:tcW w:w="574" w:type="pct"/>
            <w:tcBorders>
              <w:top w:val="nil"/>
              <w:left w:val="nil"/>
              <w:bottom w:val="nil"/>
              <w:right w:val="nil"/>
            </w:tcBorders>
            <w:shd w:val="clear" w:color="auto" w:fill="auto"/>
            <w:noWrap/>
            <w:vAlign w:val="center"/>
            <w:hideMark/>
          </w:tcPr>
          <w:p w14:paraId="3C501277"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9.3%</w:t>
            </w:r>
          </w:p>
        </w:tc>
      </w:tr>
      <w:tr w:rsidR="00237939" w:rsidRPr="00237939" w14:paraId="19EAF3C9" w14:textId="77777777" w:rsidTr="00A26FAB">
        <w:trPr>
          <w:trHeight w:val="300"/>
        </w:trPr>
        <w:tc>
          <w:tcPr>
            <w:tcW w:w="4051" w:type="pct"/>
            <w:tcBorders>
              <w:top w:val="nil"/>
              <w:left w:val="nil"/>
              <w:bottom w:val="nil"/>
              <w:right w:val="nil"/>
            </w:tcBorders>
            <w:shd w:val="clear" w:color="auto" w:fill="auto"/>
            <w:noWrap/>
            <w:vAlign w:val="center"/>
            <w:hideMark/>
          </w:tcPr>
          <w:p w14:paraId="69C7542A"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324: "Medical liability, fraud and abuse"</w:t>
            </w:r>
          </w:p>
        </w:tc>
        <w:tc>
          <w:tcPr>
            <w:tcW w:w="375" w:type="pct"/>
            <w:tcBorders>
              <w:top w:val="nil"/>
              <w:left w:val="nil"/>
              <w:bottom w:val="nil"/>
              <w:right w:val="nil"/>
            </w:tcBorders>
            <w:shd w:val="clear" w:color="auto" w:fill="auto"/>
            <w:noWrap/>
            <w:vAlign w:val="center"/>
            <w:hideMark/>
          </w:tcPr>
          <w:p w14:paraId="1EF4C7BF"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w:t>
            </w:r>
          </w:p>
        </w:tc>
        <w:tc>
          <w:tcPr>
            <w:tcW w:w="574" w:type="pct"/>
            <w:tcBorders>
              <w:top w:val="nil"/>
              <w:left w:val="nil"/>
              <w:bottom w:val="nil"/>
              <w:right w:val="nil"/>
            </w:tcBorders>
            <w:shd w:val="clear" w:color="auto" w:fill="auto"/>
            <w:noWrap/>
            <w:vAlign w:val="center"/>
            <w:hideMark/>
          </w:tcPr>
          <w:p w14:paraId="2F9FA0DC"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0.7%</w:t>
            </w:r>
          </w:p>
        </w:tc>
      </w:tr>
      <w:tr w:rsidR="00237939" w:rsidRPr="00237939" w14:paraId="653FDAEF" w14:textId="77777777" w:rsidTr="00A26FAB">
        <w:trPr>
          <w:trHeight w:val="300"/>
        </w:trPr>
        <w:tc>
          <w:tcPr>
            <w:tcW w:w="4051" w:type="pct"/>
            <w:tcBorders>
              <w:top w:val="nil"/>
              <w:left w:val="nil"/>
              <w:bottom w:val="nil"/>
              <w:right w:val="nil"/>
            </w:tcBorders>
            <w:shd w:val="clear" w:color="auto" w:fill="auto"/>
            <w:noWrap/>
            <w:vAlign w:val="center"/>
            <w:hideMark/>
          </w:tcPr>
          <w:p w14:paraId="65973405"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334: "Long-term care, home health, terminally ill, and rehabilitation services"</w:t>
            </w:r>
          </w:p>
        </w:tc>
        <w:tc>
          <w:tcPr>
            <w:tcW w:w="375" w:type="pct"/>
            <w:tcBorders>
              <w:top w:val="nil"/>
              <w:left w:val="nil"/>
              <w:bottom w:val="nil"/>
              <w:right w:val="nil"/>
            </w:tcBorders>
            <w:shd w:val="clear" w:color="auto" w:fill="auto"/>
            <w:noWrap/>
            <w:vAlign w:val="center"/>
            <w:hideMark/>
          </w:tcPr>
          <w:p w14:paraId="74B38106"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65</w:t>
            </w:r>
          </w:p>
        </w:tc>
        <w:tc>
          <w:tcPr>
            <w:tcW w:w="574" w:type="pct"/>
            <w:tcBorders>
              <w:top w:val="nil"/>
              <w:left w:val="nil"/>
              <w:bottom w:val="nil"/>
              <w:right w:val="nil"/>
            </w:tcBorders>
            <w:shd w:val="clear" w:color="auto" w:fill="auto"/>
            <w:noWrap/>
            <w:vAlign w:val="center"/>
            <w:hideMark/>
          </w:tcPr>
          <w:p w14:paraId="2569C1E3"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14.0%</w:t>
            </w:r>
          </w:p>
        </w:tc>
      </w:tr>
      <w:tr w:rsidR="00237939" w:rsidRPr="00237939" w14:paraId="39016BF9" w14:textId="77777777" w:rsidTr="00A26FAB">
        <w:trPr>
          <w:trHeight w:val="300"/>
        </w:trPr>
        <w:tc>
          <w:tcPr>
            <w:tcW w:w="4051" w:type="pct"/>
            <w:tcBorders>
              <w:top w:val="nil"/>
              <w:left w:val="nil"/>
              <w:bottom w:val="nil"/>
              <w:right w:val="nil"/>
            </w:tcBorders>
            <w:shd w:val="clear" w:color="auto" w:fill="auto"/>
            <w:noWrap/>
            <w:vAlign w:val="center"/>
            <w:hideMark/>
          </w:tcPr>
          <w:p w14:paraId="5DBEE8E0"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335: "Prescription drug coverage and costs"</w:t>
            </w:r>
          </w:p>
        </w:tc>
        <w:tc>
          <w:tcPr>
            <w:tcW w:w="375" w:type="pct"/>
            <w:tcBorders>
              <w:top w:val="nil"/>
              <w:left w:val="nil"/>
              <w:bottom w:val="nil"/>
              <w:right w:val="nil"/>
            </w:tcBorders>
            <w:shd w:val="clear" w:color="auto" w:fill="auto"/>
            <w:noWrap/>
            <w:vAlign w:val="center"/>
            <w:hideMark/>
          </w:tcPr>
          <w:p w14:paraId="7FF8C259"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73</w:t>
            </w:r>
          </w:p>
        </w:tc>
        <w:tc>
          <w:tcPr>
            <w:tcW w:w="574" w:type="pct"/>
            <w:tcBorders>
              <w:top w:val="nil"/>
              <w:left w:val="nil"/>
              <w:bottom w:val="nil"/>
              <w:right w:val="nil"/>
            </w:tcBorders>
            <w:shd w:val="clear" w:color="auto" w:fill="auto"/>
            <w:noWrap/>
            <w:vAlign w:val="center"/>
            <w:hideMark/>
          </w:tcPr>
          <w:p w14:paraId="0544BC88"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15.8%</w:t>
            </w:r>
          </w:p>
        </w:tc>
      </w:tr>
      <w:tr w:rsidR="00237939" w:rsidRPr="00237939" w14:paraId="4AABD7D1" w14:textId="77777777" w:rsidTr="00A26FAB">
        <w:trPr>
          <w:trHeight w:val="300"/>
        </w:trPr>
        <w:tc>
          <w:tcPr>
            <w:tcW w:w="4051" w:type="pct"/>
            <w:tcBorders>
              <w:top w:val="nil"/>
              <w:left w:val="nil"/>
              <w:bottom w:val="nil"/>
              <w:right w:val="nil"/>
            </w:tcBorders>
            <w:shd w:val="clear" w:color="auto" w:fill="auto"/>
            <w:noWrap/>
            <w:vAlign w:val="center"/>
            <w:hideMark/>
          </w:tcPr>
          <w:p w14:paraId="0697FCA3"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336: "Health: Other or multiple benefits and procedures"</w:t>
            </w:r>
          </w:p>
        </w:tc>
        <w:tc>
          <w:tcPr>
            <w:tcW w:w="375" w:type="pct"/>
            <w:tcBorders>
              <w:top w:val="nil"/>
              <w:left w:val="nil"/>
              <w:bottom w:val="nil"/>
              <w:right w:val="nil"/>
            </w:tcBorders>
            <w:shd w:val="clear" w:color="auto" w:fill="auto"/>
            <w:noWrap/>
            <w:vAlign w:val="center"/>
            <w:hideMark/>
          </w:tcPr>
          <w:p w14:paraId="0FC3B024"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36</w:t>
            </w:r>
          </w:p>
        </w:tc>
        <w:tc>
          <w:tcPr>
            <w:tcW w:w="574" w:type="pct"/>
            <w:tcBorders>
              <w:top w:val="nil"/>
              <w:left w:val="nil"/>
              <w:bottom w:val="nil"/>
              <w:right w:val="nil"/>
            </w:tcBorders>
            <w:shd w:val="clear" w:color="auto" w:fill="auto"/>
            <w:noWrap/>
            <w:vAlign w:val="center"/>
            <w:hideMark/>
          </w:tcPr>
          <w:p w14:paraId="61490E06"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7.8%</w:t>
            </w:r>
          </w:p>
        </w:tc>
      </w:tr>
      <w:tr w:rsidR="00237939" w:rsidRPr="00237939" w14:paraId="13EE3CA4" w14:textId="77777777" w:rsidTr="00A26FAB">
        <w:trPr>
          <w:trHeight w:val="300"/>
        </w:trPr>
        <w:tc>
          <w:tcPr>
            <w:tcW w:w="4051" w:type="pct"/>
            <w:tcBorders>
              <w:top w:val="nil"/>
              <w:left w:val="nil"/>
              <w:bottom w:val="nil"/>
              <w:right w:val="nil"/>
            </w:tcBorders>
            <w:shd w:val="clear" w:color="auto" w:fill="auto"/>
            <w:noWrap/>
            <w:vAlign w:val="center"/>
            <w:hideMark/>
          </w:tcPr>
          <w:p w14:paraId="3D834C63"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398: "Health: Research and development"</w:t>
            </w:r>
          </w:p>
        </w:tc>
        <w:tc>
          <w:tcPr>
            <w:tcW w:w="375" w:type="pct"/>
            <w:tcBorders>
              <w:top w:val="nil"/>
              <w:left w:val="nil"/>
              <w:bottom w:val="nil"/>
              <w:right w:val="nil"/>
            </w:tcBorders>
            <w:shd w:val="clear" w:color="auto" w:fill="auto"/>
            <w:noWrap/>
            <w:vAlign w:val="center"/>
            <w:hideMark/>
          </w:tcPr>
          <w:p w14:paraId="7116352C"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6</w:t>
            </w:r>
          </w:p>
        </w:tc>
        <w:tc>
          <w:tcPr>
            <w:tcW w:w="574" w:type="pct"/>
            <w:tcBorders>
              <w:top w:val="nil"/>
              <w:left w:val="nil"/>
              <w:bottom w:val="nil"/>
              <w:right w:val="nil"/>
            </w:tcBorders>
            <w:shd w:val="clear" w:color="auto" w:fill="auto"/>
            <w:noWrap/>
            <w:vAlign w:val="center"/>
            <w:hideMark/>
          </w:tcPr>
          <w:p w14:paraId="7C02D690"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1.3%</w:t>
            </w:r>
          </w:p>
        </w:tc>
      </w:tr>
      <w:tr w:rsidR="00237939" w:rsidRPr="00237939" w14:paraId="2F6F70EC" w14:textId="77777777" w:rsidTr="00A26FAB">
        <w:trPr>
          <w:trHeight w:val="300"/>
        </w:trPr>
        <w:tc>
          <w:tcPr>
            <w:tcW w:w="4051" w:type="pct"/>
            <w:tcBorders>
              <w:top w:val="nil"/>
              <w:left w:val="nil"/>
              <w:bottom w:val="nil"/>
              <w:right w:val="nil"/>
            </w:tcBorders>
            <w:shd w:val="clear" w:color="auto" w:fill="auto"/>
            <w:noWrap/>
            <w:vAlign w:val="center"/>
            <w:hideMark/>
          </w:tcPr>
          <w:p w14:paraId="35990977"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699: "Education: Other"</w:t>
            </w:r>
          </w:p>
        </w:tc>
        <w:tc>
          <w:tcPr>
            <w:tcW w:w="375" w:type="pct"/>
            <w:tcBorders>
              <w:top w:val="nil"/>
              <w:left w:val="nil"/>
              <w:bottom w:val="nil"/>
              <w:right w:val="nil"/>
            </w:tcBorders>
            <w:shd w:val="clear" w:color="auto" w:fill="auto"/>
            <w:noWrap/>
            <w:vAlign w:val="center"/>
            <w:hideMark/>
          </w:tcPr>
          <w:p w14:paraId="4B0CE250"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w:t>
            </w:r>
          </w:p>
        </w:tc>
        <w:tc>
          <w:tcPr>
            <w:tcW w:w="574" w:type="pct"/>
            <w:tcBorders>
              <w:top w:val="nil"/>
              <w:left w:val="nil"/>
              <w:bottom w:val="nil"/>
              <w:right w:val="nil"/>
            </w:tcBorders>
            <w:shd w:val="clear" w:color="auto" w:fill="auto"/>
            <w:noWrap/>
            <w:vAlign w:val="center"/>
            <w:hideMark/>
          </w:tcPr>
          <w:p w14:paraId="4852E6DC"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0.2%</w:t>
            </w:r>
          </w:p>
        </w:tc>
      </w:tr>
      <w:tr w:rsidR="00237939" w:rsidRPr="00237939" w14:paraId="39899966" w14:textId="77777777" w:rsidTr="00A26FAB">
        <w:trPr>
          <w:trHeight w:val="300"/>
        </w:trPr>
        <w:tc>
          <w:tcPr>
            <w:tcW w:w="4051" w:type="pct"/>
            <w:tcBorders>
              <w:top w:val="nil"/>
              <w:left w:val="nil"/>
              <w:bottom w:val="nil"/>
              <w:right w:val="nil"/>
            </w:tcBorders>
            <w:shd w:val="clear" w:color="auto" w:fill="auto"/>
            <w:noWrap/>
            <w:vAlign w:val="center"/>
            <w:hideMark/>
          </w:tcPr>
          <w:p w14:paraId="614BCFE5"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1208: "Family Issues"</w:t>
            </w:r>
          </w:p>
        </w:tc>
        <w:tc>
          <w:tcPr>
            <w:tcW w:w="375" w:type="pct"/>
            <w:tcBorders>
              <w:top w:val="nil"/>
              <w:left w:val="nil"/>
              <w:bottom w:val="nil"/>
              <w:right w:val="nil"/>
            </w:tcBorders>
            <w:shd w:val="clear" w:color="auto" w:fill="auto"/>
            <w:noWrap/>
            <w:vAlign w:val="center"/>
            <w:hideMark/>
          </w:tcPr>
          <w:p w14:paraId="34736CF1"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4</w:t>
            </w:r>
          </w:p>
        </w:tc>
        <w:tc>
          <w:tcPr>
            <w:tcW w:w="574" w:type="pct"/>
            <w:tcBorders>
              <w:top w:val="nil"/>
              <w:left w:val="nil"/>
              <w:bottom w:val="nil"/>
              <w:right w:val="nil"/>
            </w:tcBorders>
            <w:shd w:val="clear" w:color="auto" w:fill="auto"/>
            <w:noWrap/>
            <w:vAlign w:val="center"/>
            <w:hideMark/>
          </w:tcPr>
          <w:p w14:paraId="4B2730D8"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0.9%</w:t>
            </w:r>
          </w:p>
        </w:tc>
      </w:tr>
      <w:tr w:rsidR="00237939" w:rsidRPr="00237939" w14:paraId="6ECCD581" w14:textId="77777777" w:rsidTr="00A26FAB">
        <w:trPr>
          <w:trHeight w:val="300"/>
        </w:trPr>
        <w:tc>
          <w:tcPr>
            <w:tcW w:w="4051" w:type="pct"/>
            <w:tcBorders>
              <w:top w:val="nil"/>
              <w:left w:val="nil"/>
              <w:bottom w:val="nil"/>
              <w:right w:val="nil"/>
            </w:tcBorders>
            <w:shd w:val="clear" w:color="auto" w:fill="auto"/>
            <w:noWrap/>
            <w:vAlign w:val="center"/>
            <w:hideMark/>
          </w:tcPr>
          <w:p w14:paraId="6ECEAA1B"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1300: "Social Welfare: General"</w:t>
            </w:r>
          </w:p>
        </w:tc>
        <w:tc>
          <w:tcPr>
            <w:tcW w:w="375" w:type="pct"/>
            <w:tcBorders>
              <w:top w:val="nil"/>
              <w:left w:val="nil"/>
              <w:bottom w:val="nil"/>
              <w:right w:val="nil"/>
            </w:tcBorders>
            <w:shd w:val="clear" w:color="auto" w:fill="auto"/>
            <w:noWrap/>
            <w:vAlign w:val="center"/>
            <w:hideMark/>
          </w:tcPr>
          <w:p w14:paraId="0960B5AA"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2</w:t>
            </w:r>
          </w:p>
        </w:tc>
        <w:tc>
          <w:tcPr>
            <w:tcW w:w="574" w:type="pct"/>
            <w:tcBorders>
              <w:top w:val="nil"/>
              <w:left w:val="nil"/>
              <w:bottom w:val="nil"/>
              <w:right w:val="nil"/>
            </w:tcBorders>
            <w:shd w:val="clear" w:color="auto" w:fill="auto"/>
            <w:noWrap/>
            <w:vAlign w:val="center"/>
            <w:hideMark/>
          </w:tcPr>
          <w:p w14:paraId="5E25E4F1"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0.4%</w:t>
            </w:r>
          </w:p>
        </w:tc>
      </w:tr>
      <w:tr w:rsidR="00237939" w:rsidRPr="00237939" w14:paraId="66F3940B" w14:textId="77777777" w:rsidTr="00A26FAB">
        <w:trPr>
          <w:trHeight w:val="300"/>
        </w:trPr>
        <w:tc>
          <w:tcPr>
            <w:tcW w:w="4051" w:type="pct"/>
            <w:tcBorders>
              <w:top w:val="nil"/>
              <w:left w:val="nil"/>
              <w:bottom w:val="nil"/>
              <w:right w:val="nil"/>
            </w:tcBorders>
            <w:shd w:val="clear" w:color="auto" w:fill="auto"/>
            <w:noWrap/>
            <w:vAlign w:val="center"/>
            <w:hideMark/>
          </w:tcPr>
          <w:p w14:paraId="43279B8B"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1301: "Food Stamps, Food Assistance, and Nutrition Monitoring Programs"</w:t>
            </w:r>
          </w:p>
        </w:tc>
        <w:tc>
          <w:tcPr>
            <w:tcW w:w="375" w:type="pct"/>
            <w:tcBorders>
              <w:top w:val="nil"/>
              <w:left w:val="nil"/>
              <w:bottom w:val="nil"/>
              <w:right w:val="nil"/>
            </w:tcBorders>
            <w:shd w:val="clear" w:color="auto" w:fill="auto"/>
            <w:noWrap/>
            <w:vAlign w:val="center"/>
            <w:hideMark/>
          </w:tcPr>
          <w:p w14:paraId="6186E9B4"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w:t>
            </w:r>
          </w:p>
        </w:tc>
        <w:tc>
          <w:tcPr>
            <w:tcW w:w="574" w:type="pct"/>
            <w:tcBorders>
              <w:top w:val="nil"/>
              <w:left w:val="nil"/>
              <w:bottom w:val="nil"/>
              <w:right w:val="nil"/>
            </w:tcBorders>
            <w:shd w:val="clear" w:color="auto" w:fill="auto"/>
            <w:noWrap/>
            <w:vAlign w:val="center"/>
            <w:hideMark/>
          </w:tcPr>
          <w:p w14:paraId="0FC07FCD"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0.2%</w:t>
            </w:r>
          </w:p>
        </w:tc>
      </w:tr>
      <w:tr w:rsidR="00237939" w:rsidRPr="00237939" w14:paraId="2125859C" w14:textId="77777777" w:rsidTr="00A26FAB">
        <w:trPr>
          <w:trHeight w:val="300"/>
        </w:trPr>
        <w:tc>
          <w:tcPr>
            <w:tcW w:w="4051" w:type="pct"/>
            <w:tcBorders>
              <w:top w:val="nil"/>
              <w:left w:val="nil"/>
              <w:bottom w:val="nil"/>
              <w:right w:val="nil"/>
            </w:tcBorders>
            <w:shd w:val="clear" w:color="auto" w:fill="auto"/>
            <w:noWrap/>
            <w:vAlign w:val="center"/>
            <w:hideMark/>
          </w:tcPr>
          <w:p w14:paraId="29834928" w14:textId="77777777" w:rsidR="00237939" w:rsidRDefault="00237939" w:rsidP="00237939">
            <w:pPr>
              <w:jc w:val="left"/>
              <w:rPr>
                <w:rFonts w:eastAsia="Times New Roman" w:cs="Times New Roman"/>
                <w:color w:val="000000"/>
                <w:sz w:val="22"/>
              </w:rPr>
            </w:pPr>
            <w:r w:rsidRPr="00237939">
              <w:rPr>
                <w:rFonts w:eastAsia="Times New Roman" w:cs="Times New Roman"/>
                <w:color w:val="000000"/>
                <w:sz w:val="22"/>
              </w:rPr>
              <w:t xml:space="preserve">1303: "Elderly Issues and Elderly Assistance Programs (Including Social Security </w:t>
            </w:r>
            <w:r>
              <w:rPr>
                <w:rFonts w:eastAsia="Times New Roman" w:cs="Times New Roman"/>
                <w:color w:val="000000"/>
                <w:sz w:val="22"/>
              </w:rPr>
              <w:t xml:space="preserve">  </w:t>
            </w:r>
          </w:p>
          <w:p w14:paraId="2C9A513C" w14:textId="77777777" w:rsidR="00237939" w:rsidRPr="00237939" w:rsidRDefault="00237939" w:rsidP="00237939">
            <w:pPr>
              <w:jc w:val="left"/>
              <w:rPr>
                <w:rFonts w:eastAsia="Times New Roman" w:cs="Times New Roman"/>
                <w:color w:val="000000"/>
                <w:sz w:val="22"/>
              </w:rPr>
            </w:pPr>
            <w:r>
              <w:rPr>
                <w:rFonts w:eastAsia="Times New Roman" w:cs="Times New Roman"/>
                <w:color w:val="000000"/>
                <w:sz w:val="22"/>
              </w:rPr>
              <w:t xml:space="preserve">          </w:t>
            </w:r>
            <w:r w:rsidRPr="00237939">
              <w:rPr>
                <w:rFonts w:eastAsia="Times New Roman" w:cs="Times New Roman"/>
                <w:color w:val="000000"/>
                <w:sz w:val="22"/>
              </w:rPr>
              <w:t>Administration)"</w:t>
            </w:r>
          </w:p>
        </w:tc>
        <w:tc>
          <w:tcPr>
            <w:tcW w:w="375" w:type="pct"/>
            <w:tcBorders>
              <w:top w:val="nil"/>
              <w:left w:val="nil"/>
              <w:bottom w:val="nil"/>
              <w:right w:val="nil"/>
            </w:tcBorders>
            <w:shd w:val="clear" w:color="auto" w:fill="auto"/>
            <w:noWrap/>
            <w:vAlign w:val="center"/>
            <w:hideMark/>
          </w:tcPr>
          <w:p w14:paraId="372B2C23"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119</w:t>
            </w:r>
          </w:p>
        </w:tc>
        <w:tc>
          <w:tcPr>
            <w:tcW w:w="574" w:type="pct"/>
            <w:tcBorders>
              <w:top w:val="nil"/>
              <w:left w:val="nil"/>
              <w:bottom w:val="nil"/>
              <w:right w:val="nil"/>
            </w:tcBorders>
            <w:shd w:val="clear" w:color="auto" w:fill="auto"/>
            <w:noWrap/>
            <w:vAlign w:val="center"/>
            <w:hideMark/>
          </w:tcPr>
          <w:p w14:paraId="0E48FD2E"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25.7%</w:t>
            </w:r>
          </w:p>
        </w:tc>
      </w:tr>
      <w:tr w:rsidR="00237939" w:rsidRPr="00237939" w14:paraId="0BFEB9A9" w14:textId="77777777" w:rsidTr="00A26FAB">
        <w:trPr>
          <w:trHeight w:val="300"/>
        </w:trPr>
        <w:tc>
          <w:tcPr>
            <w:tcW w:w="4051" w:type="pct"/>
            <w:tcBorders>
              <w:top w:val="nil"/>
              <w:left w:val="nil"/>
              <w:bottom w:val="nil"/>
              <w:right w:val="nil"/>
            </w:tcBorders>
            <w:shd w:val="clear" w:color="auto" w:fill="auto"/>
            <w:noWrap/>
            <w:vAlign w:val="center"/>
            <w:hideMark/>
          </w:tcPr>
          <w:p w14:paraId="3783787B"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1304: "Assistance to the Disabled and Handicapped"</w:t>
            </w:r>
          </w:p>
        </w:tc>
        <w:tc>
          <w:tcPr>
            <w:tcW w:w="375" w:type="pct"/>
            <w:tcBorders>
              <w:top w:val="nil"/>
              <w:left w:val="nil"/>
              <w:bottom w:val="nil"/>
              <w:right w:val="nil"/>
            </w:tcBorders>
            <w:shd w:val="clear" w:color="auto" w:fill="auto"/>
            <w:noWrap/>
            <w:vAlign w:val="center"/>
            <w:hideMark/>
          </w:tcPr>
          <w:p w14:paraId="49B1D31C"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w:t>
            </w:r>
          </w:p>
        </w:tc>
        <w:tc>
          <w:tcPr>
            <w:tcW w:w="574" w:type="pct"/>
            <w:tcBorders>
              <w:top w:val="nil"/>
              <w:left w:val="nil"/>
              <w:bottom w:val="nil"/>
              <w:right w:val="nil"/>
            </w:tcBorders>
            <w:shd w:val="clear" w:color="auto" w:fill="auto"/>
            <w:noWrap/>
            <w:vAlign w:val="center"/>
            <w:hideMark/>
          </w:tcPr>
          <w:p w14:paraId="45FCBD80"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0.2%</w:t>
            </w:r>
          </w:p>
        </w:tc>
      </w:tr>
      <w:tr w:rsidR="00237939" w:rsidRPr="00237939" w14:paraId="42BA79AF" w14:textId="77777777" w:rsidTr="00A26FAB">
        <w:trPr>
          <w:trHeight w:val="300"/>
        </w:trPr>
        <w:tc>
          <w:tcPr>
            <w:tcW w:w="4051" w:type="pct"/>
            <w:tcBorders>
              <w:top w:val="nil"/>
              <w:left w:val="nil"/>
              <w:bottom w:val="nil"/>
              <w:right w:val="nil"/>
            </w:tcBorders>
            <w:shd w:val="clear" w:color="auto" w:fill="auto"/>
            <w:noWrap/>
            <w:vAlign w:val="center"/>
            <w:hideMark/>
          </w:tcPr>
          <w:p w14:paraId="462539EC"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1305: "Social Services and Volunteer Associations"</w:t>
            </w:r>
          </w:p>
        </w:tc>
        <w:tc>
          <w:tcPr>
            <w:tcW w:w="375" w:type="pct"/>
            <w:tcBorders>
              <w:top w:val="nil"/>
              <w:left w:val="nil"/>
              <w:bottom w:val="nil"/>
              <w:right w:val="nil"/>
            </w:tcBorders>
            <w:shd w:val="clear" w:color="auto" w:fill="auto"/>
            <w:noWrap/>
            <w:vAlign w:val="center"/>
            <w:hideMark/>
          </w:tcPr>
          <w:p w14:paraId="1D2BEF0C"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2</w:t>
            </w:r>
          </w:p>
        </w:tc>
        <w:tc>
          <w:tcPr>
            <w:tcW w:w="574" w:type="pct"/>
            <w:tcBorders>
              <w:top w:val="nil"/>
              <w:left w:val="nil"/>
              <w:bottom w:val="nil"/>
              <w:right w:val="nil"/>
            </w:tcBorders>
            <w:shd w:val="clear" w:color="auto" w:fill="auto"/>
            <w:noWrap/>
            <w:vAlign w:val="center"/>
            <w:hideMark/>
          </w:tcPr>
          <w:p w14:paraId="397E70CF"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0.4%</w:t>
            </w:r>
          </w:p>
        </w:tc>
      </w:tr>
      <w:tr w:rsidR="00237939" w:rsidRPr="00237939" w14:paraId="1F6057B3" w14:textId="77777777" w:rsidTr="00A26FAB">
        <w:trPr>
          <w:trHeight w:val="300"/>
        </w:trPr>
        <w:tc>
          <w:tcPr>
            <w:tcW w:w="4051" w:type="pct"/>
            <w:tcBorders>
              <w:top w:val="nil"/>
              <w:left w:val="nil"/>
              <w:bottom w:val="nil"/>
              <w:right w:val="nil"/>
            </w:tcBorders>
            <w:shd w:val="clear" w:color="auto" w:fill="auto"/>
            <w:noWrap/>
            <w:vAlign w:val="center"/>
            <w:hideMark/>
          </w:tcPr>
          <w:p w14:paraId="06DB092B"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1408: "Elderly and Handicapped Housing"</w:t>
            </w:r>
          </w:p>
        </w:tc>
        <w:tc>
          <w:tcPr>
            <w:tcW w:w="375" w:type="pct"/>
            <w:tcBorders>
              <w:top w:val="nil"/>
              <w:left w:val="nil"/>
              <w:bottom w:val="nil"/>
              <w:right w:val="nil"/>
            </w:tcBorders>
            <w:shd w:val="clear" w:color="auto" w:fill="auto"/>
            <w:noWrap/>
            <w:vAlign w:val="center"/>
            <w:hideMark/>
          </w:tcPr>
          <w:p w14:paraId="1BFB5AE4"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4</w:t>
            </w:r>
          </w:p>
        </w:tc>
        <w:tc>
          <w:tcPr>
            <w:tcW w:w="574" w:type="pct"/>
            <w:tcBorders>
              <w:top w:val="nil"/>
              <w:left w:val="nil"/>
              <w:bottom w:val="nil"/>
              <w:right w:val="nil"/>
            </w:tcBorders>
            <w:shd w:val="clear" w:color="auto" w:fill="auto"/>
            <w:noWrap/>
            <w:vAlign w:val="center"/>
            <w:hideMark/>
          </w:tcPr>
          <w:p w14:paraId="14DA8D03" w14:textId="77777777" w:rsidR="00237939" w:rsidRPr="00237939" w:rsidRDefault="00237939" w:rsidP="00237939">
            <w:pPr>
              <w:jc w:val="left"/>
              <w:rPr>
                <w:rFonts w:eastAsia="Times New Roman" w:cs="Times New Roman"/>
                <w:color w:val="000000"/>
                <w:sz w:val="22"/>
              </w:rPr>
            </w:pPr>
            <w:r w:rsidRPr="00237939">
              <w:rPr>
                <w:rFonts w:eastAsia="Times New Roman" w:cs="Times New Roman"/>
                <w:color w:val="000000"/>
                <w:sz w:val="22"/>
              </w:rPr>
              <w:t>0.9%</w:t>
            </w:r>
          </w:p>
        </w:tc>
      </w:tr>
      <w:tr w:rsidR="00237939" w:rsidRPr="00237939" w14:paraId="1F1D5556" w14:textId="77777777" w:rsidTr="00A26FAB">
        <w:trPr>
          <w:trHeight w:val="153"/>
        </w:trPr>
        <w:tc>
          <w:tcPr>
            <w:tcW w:w="4051" w:type="pct"/>
            <w:tcBorders>
              <w:top w:val="nil"/>
              <w:left w:val="nil"/>
              <w:bottom w:val="double" w:sz="6" w:space="0" w:color="auto"/>
              <w:right w:val="nil"/>
            </w:tcBorders>
            <w:shd w:val="clear" w:color="auto" w:fill="auto"/>
            <w:noWrap/>
            <w:vAlign w:val="bottom"/>
            <w:hideMark/>
          </w:tcPr>
          <w:p w14:paraId="4E113CED" w14:textId="77777777" w:rsidR="00237939" w:rsidRPr="00237939" w:rsidRDefault="00237939" w:rsidP="00237939">
            <w:pPr>
              <w:jc w:val="left"/>
              <w:rPr>
                <w:rFonts w:eastAsia="Times New Roman" w:cs="Times New Roman"/>
                <w:color w:val="000000"/>
                <w:sz w:val="6"/>
                <w:szCs w:val="6"/>
              </w:rPr>
            </w:pPr>
            <w:r w:rsidRPr="00237939">
              <w:rPr>
                <w:rFonts w:eastAsia="Times New Roman" w:cs="Times New Roman"/>
                <w:color w:val="000000"/>
                <w:sz w:val="6"/>
                <w:szCs w:val="6"/>
              </w:rPr>
              <w:t> </w:t>
            </w:r>
          </w:p>
        </w:tc>
        <w:tc>
          <w:tcPr>
            <w:tcW w:w="375" w:type="pct"/>
            <w:tcBorders>
              <w:top w:val="nil"/>
              <w:left w:val="nil"/>
              <w:bottom w:val="double" w:sz="6" w:space="0" w:color="auto"/>
              <w:right w:val="nil"/>
            </w:tcBorders>
            <w:shd w:val="clear" w:color="auto" w:fill="auto"/>
            <w:noWrap/>
            <w:vAlign w:val="center"/>
            <w:hideMark/>
          </w:tcPr>
          <w:p w14:paraId="065B3435" w14:textId="77777777" w:rsidR="00237939" w:rsidRPr="00237939" w:rsidRDefault="00237939" w:rsidP="00237939">
            <w:pPr>
              <w:jc w:val="left"/>
              <w:rPr>
                <w:rFonts w:eastAsia="Times New Roman" w:cs="Times New Roman"/>
                <w:color w:val="000000"/>
                <w:sz w:val="6"/>
                <w:szCs w:val="6"/>
              </w:rPr>
            </w:pPr>
            <w:r w:rsidRPr="00237939">
              <w:rPr>
                <w:rFonts w:eastAsia="Times New Roman" w:cs="Times New Roman"/>
                <w:color w:val="000000"/>
                <w:sz w:val="6"/>
                <w:szCs w:val="6"/>
              </w:rPr>
              <w:t> </w:t>
            </w:r>
          </w:p>
        </w:tc>
        <w:tc>
          <w:tcPr>
            <w:tcW w:w="574" w:type="pct"/>
            <w:tcBorders>
              <w:top w:val="nil"/>
              <w:left w:val="nil"/>
              <w:bottom w:val="double" w:sz="6" w:space="0" w:color="auto"/>
              <w:right w:val="nil"/>
            </w:tcBorders>
            <w:shd w:val="clear" w:color="auto" w:fill="auto"/>
            <w:noWrap/>
            <w:vAlign w:val="center"/>
            <w:hideMark/>
          </w:tcPr>
          <w:p w14:paraId="73EE7C24" w14:textId="77777777" w:rsidR="00237939" w:rsidRPr="00237939" w:rsidRDefault="00237939" w:rsidP="00237939">
            <w:pPr>
              <w:jc w:val="left"/>
              <w:rPr>
                <w:rFonts w:eastAsia="Times New Roman" w:cs="Times New Roman"/>
                <w:color w:val="000000"/>
                <w:sz w:val="6"/>
                <w:szCs w:val="6"/>
              </w:rPr>
            </w:pPr>
            <w:r w:rsidRPr="00237939">
              <w:rPr>
                <w:rFonts w:eastAsia="Times New Roman" w:cs="Times New Roman"/>
                <w:color w:val="000000"/>
                <w:sz w:val="6"/>
                <w:szCs w:val="6"/>
              </w:rPr>
              <w:t> </w:t>
            </w:r>
          </w:p>
        </w:tc>
      </w:tr>
      <w:tr w:rsidR="00237939" w:rsidRPr="00237939" w14:paraId="40BA1CEE" w14:textId="77777777" w:rsidTr="005255CB">
        <w:trPr>
          <w:trHeight w:val="279"/>
        </w:trPr>
        <w:tc>
          <w:tcPr>
            <w:tcW w:w="5000" w:type="pct"/>
            <w:gridSpan w:val="3"/>
            <w:tcBorders>
              <w:top w:val="double" w:sz="6" w:space="0" w:color="auto"/>
              <w:left w:val="nil"/>
              <w:bottom w:val="nil"/>
              <w:right w:val="nil"/>
            </w:tcBorders>
            <w:shd w:val="clear" w:color="auto" w:fill="auto"/>
            <w:vAlign w:val="bottom"/>
            <w:hideMark/>
          </w:tcPr>
          <w:p w14:paraId="435F7937" w14:textId="77777777" w:rsidR="00237939" w:rsidRPr="00237939" w:rsidRDefault="00237939" w:rsidP="00237939">
            <w:pPr>
              <w:jc w:val="left"/>
              <w:rPr>
                <w:rFonts w:eastAsia="Times New Roman" w:cs="Times New Roman"/>
                <w:i/>
                <w:iCs/>
                <w:color w:val="000000"/>
                <w:sz w:val="22"/>
              </w:rPr>
            </w:pPr>
            <w:r w:rsidRPr="00237939">
              <w:rPr>
                <w:rFonts w:eastAsia="Times New Roman" w:cs="Times New Roman"/>
                <w:i/>
                <w:iCs/>
                <w:color w:val="000000"/>
                <w:sz w:val="22"/>
              </w:rPr>
              <w:t>Notes:</w:t>
            </w:r>
            <w:r w:rsidR="005255CB">
              <w:rPr>
                <w:rFonts w:eastAsia="Times New Roman" w:cs="Times New Roman"/>
                <w:i/>
                <w:iCs/>
                <w:color w:val="000000"/>
                <w:sz w:val="22"/>
              </w:rPr>
              <w:t xml:space="preserve"> </w:t>
            </w:r>
            <w:r w:rsidRPr="00237939">
              <w:rPr>
                <w:rFonts w:eastAsia="Times New Roman" w:cs="Times New Roman"/>
                <w:color w:val="000000"/>
                <w:sz w:val="22"/>
              </w:rPr>
              <w:t>Issue topics are taken from the Policy Agendas Project and Congressional Bills Project</w:t>
            </w:r>
            <w:r w:rsidR="005255CB">
              <w:rPr>
                <w:rFonts w:eastAsia="Times New Roman" w:cs="Times New Roman"/>
                <w:color w:val="000000"/>
                <w:sz w:val="22"/>
              </w:rPr>
              <w:t>.</w:t>
            </w:r>
          </w:p>
        </w:tc>
      </w:tr>
    </w:tbl>
    <w:p w14:paraId="3EF4AA28" w14:textId="77777777" w:rsidR="00237939" w:rsidRDefault="00237939" w:rsidP="00447CFD">
      <w:pPr>
        <w:jc w:val="left"/>
      </w:pPr>
    </w:p>
    <w:p w14:paraId="4B309640" w14:textId="77777777" w:rsidR="002B06BA" w:rsidRDefault="002B06BA" w:rsidP="001F2ADE">
      <w:pPr>
        <w:jc w:val="both"/>
      </w:pPr>
      <w:r>
        <w:br w:type="page"/>
      </w:r>
    </w:p>
    <w:p w14:paraId="2200E74C" w14:textId="77777777" w:rsidR="002B06BA" w:rsidRDefault="002B06BA" w:rsidP="00447CFD">
      <w:pPr>
        <w:jc w:val="left"/>
        <w:sectPr w:rsidR="002B06BA" w:rsidSect="00DE6219">
          <w:endnotePr>
            <w:numFmt w:val="decimal"/>
          </w:endnotePr>
          <w:pgSz w:w="12240" w:h="15840"/>
          <w:pgMar w:top="1440" w:right="1440" w:bottom="1440" w:left="1440" w:header="720" w:footer="720" w:gutter="0"/>
          <w:pgNumType w:start="0"/>
          <w:cols w:space="720"/>
          <w:titlePg/>
          <w:docGrid w:linePitch="360"/>
        </w:sectPr>
      </w:pPr>
    </w:p>
    <w:tbl>
      <w:tblPr>
        <w:tblW w:w="5000" w:type="pct"/>
        <w:tblLayout w:type="fixed"/>
        <w:tblLook w:val="04A0" w:firstRow="1" w:lastRow="0" w:firstColumn="1" w:lastColumn="0" w:noHBand="0" w:noVBand="1"/>
      </w:tblPr>
      <w:tblGrid>
        <w:gridCol w:w="5868"/>
        <w:gridCol w:w="593"/>
        <w:gridCol w:w="253"/>
        <w:gridCol w:w="5724"/>
        <w:gridCol w:w="738"/>
      </w:tblGrid>
      <w:tr w:rsidR="00E81D8B" w:rsidRPr="00151AF9" w14:paraId="41A23C4E" w14:textId="77777777" w:rsidTr="00E81D8B">
        <w:trPr>
          <w:trHeight w:val="79"/>
        </w:trPr>
        <w:tc>
          <w:tcPr>
            <w:tcW w:w="5000" w:type="pct"/>
            <w:gridSpan w:val="5"/>
            <w:tcBorders>
              <w:top w:val="nil"/>
              <w:left w:val="nil"/>
              <w:bottom w:val="double" w:sz="6" w:space="0" w:color="auto"/>
              <w:right w:val="nil"/>
            </w:tcBorders>
            <w:shd w:val="clear" w:color="auto" w:fill="auto"/>
            <w:vAlign w:val="bottom"/>
            <w:hideMark/>
          </w:tcPr>
          <w:p w14:paraId="17B6247B" w14:textId="77777777" w:rsidR="00E81D8B" w:rsidRPr="00151AF9" w:rsidRDefault="00E81D8B" w:rsidP="00E81D8B">
            <w:pPr>
              <w:rPr>
                <w:rFonts w:eastAsia="Times New Roman" w:cs="Times New Roman"/>
                <w:b/>
                <w:bCs/>
                <w:smallCaps/>
                <w:color w:val="000000"/>
                <w:sz w:val="22"/>
              </w:rPr>
            </w:pPr>
            <w:r w:rsidRPr="00151AF9">
              <w:rPr>
                <w:rFonts w:eastAsia="Times New Roman" w:cs="Times New Roman"/>
                <w:b/>
                <w:bCs/>
                <w:smallCaps/>
                <w:color w:val="000000"/>
                <w:sz w:val="22"/>
              </w:rPr>
              <w:lastRenderedPageBreak/>
              <w:t>TABLE 2</w:t>
            </w:r>
            <w:r w:rsidRPr="00151AF9">
              <w:rPr>
                <w:rFonts w:eastAsia="Times New Roman" w:cs="Times New Roman"/>
                <w:b/>
                <w:bCs/>
                <w:smallCaps/>
                <w:color w:val="000000"/>
                <w:sz w:val="22"/>
              </w:rPr>
              <w:br/>
              <w:t>"Senior Issues" by Salience and Congress</w:t>
            </w:r>
          </w:p>
        </w:tc>
      </w:tr>
      <w:tr w:rsidR="00E81D8B" w:rsidRPr="00E81D8B" w14:paraId="4AB2016E" w14:textId="77777777" w:rsidTr="00151AF9">
        <w:trPr>
          <w:trHeight w:val="261"/>
        </w:trPr>
        <w:tc>
          <w:tcPr>
            <w:tcW w:w="2452" w:type="pct"/>
            <w:gridSpan w:val="2"/>
            <w:tcBorders>
              <w:top w:val="nil"/>
              <w:left w:val="nil"/>
              <w:bottom w:val="single" w:sz="4" w:space="0" w:color="auto"/>
              <w:right w:val="nil"/>
            </w:tcBorders>
            <w:shd w:val="clear" w:color="auto" w:fill="auto"/>
            <w:vAlign w:val="bottom"/>
            <w:hideMark/>
          </w:tcPr>
          <w:p w14:paraId="07F049F7"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109th Congress</w:t>
            </w:r>
          </w:p>
        </w:tc>
        <w:tc>
          <w:tcPr>
            <w:tcW w:w="96" w:type="pct"/>
            <w:tcBorders>
              <w:top w:val="nil"/>
              <w:left w:val="nil"/>
              <w:bottom w:val="nil"/>
              <w:right w:val="nil"/>
            </w:tcBorders>
            <w:shd w:val="clear" w:color="auto" w:fill="auto"/>
            <w:noWrap/>
            <w:vAlign w:val="bottom"/>
            <w:hideMark/>
          </w:tcPr>
          <w:p w14:paraId="2852431A" w14:textId="77777777" w:rsidR="00E81D8B" w:rsidRPr="00E81D8B" w:rsidRDefault="00E81D8B" w:rsidP="00E81D8B">
            <w:pPr>
              <w:jc w:val="left"/>
              <w:rPr>
                <w:rFonts w:eastAsia="Times New Roman" w:cs="Times New Roman"/>
                <w:color w:val="000000"/>
                <w:sz w:val="22"/>
              </w:rPr>
            </w:pPr>
          </w:p>
        </w:tc>
        <w:tc>
          <w:tcPr>
            <w:tcW w:w="2452" w:type="pct"/>
            <w:gridSpan w:val="2"/>
            <w:tcBorders>
              <w:top w:val="nil"/>
              <w:left w:val="nil"/>
              <w:bottom w:val="single" w:sz="4" w:space="0" w:color="auto"/>
              <w:right w:val="nil"/>
            </w:tcBorders>
            <w:shd w:val="clear" w:color="auto" w:fill="auto"/>
            <w:vAlign w:val="bottom"/>
            <w:hideMark/>
          </w:tcPr>
          <w:p w14:paraId="76E50306"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110th Congress</w:t>
            </w:r>
          </w:p>
        </w:tc>
      </w:tr>
      <w:tr w:rsidR="00E81D8B" w:rsidRPr="00E81D8B" w14:paraId="0FC53211" w14:textId="77777777" w:rsidTr="00E81D8B">
        <w:trPr>
          <w:trHeight w:val="300"/>
        </w:trPr>
        <w:tc>
          <w:tcPr>
            <w:tcW w:w="2227" w:type="pct"/>
            <w:tcBorders>
              <w:top w:val="nil"/>
              <w:left w:val="nil"/>
              <w:bottom w:val="single" w:sz="4" w:space="0" w:color="auto"/>
              <w:right w:val="nil"/>
            </w:tcBorders>
            <w:shd w:val="clear" w:color="auto" w:fill="auto"/>
            <w:noWrap/>
            <w:vAlign w:val="bottom"/>
            <w:hideMark/>
          </w:tcPr>
          <w:p w14:paraId="29EDA35E"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PAP issue topic</w:t>
            </w:r>
          </w:p>
        </w:tc>
        <w:tc>
          <w:tcPr>
            <w:tcW w:w="225" w:type="pct"/>
            <w:tcBorders>
              <w:top w:val="nil"/>
              <w:left w:val="nil"/>
              <w:bottom w:val="single" w:sz="4" w:space="0" w:color="auto"/>
              <w:right w:val="nil"/>
            </w:tcBorders>
            <w:shd w:val="clear" w:color="auto" w:fill="auto"/>
            <w:noWrap/>
            <w:vAlign w:val="center"/>
            <w:hideMark/>
          </w:tcPr>
          <w:p w14:paraId="1CA10ECA"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N</w:t>
            </w:r>
          </w:p>
        </w:tc>
        <w:tc>
          <w:tcPr>
            <w:tcW w:w="96" w:type="pct"/>
            <w:tcBorders>
              <w:top w:val="nil"/>
              <w:left w:val="nil"/>
              <w:bottom w:val="nil"/>
              <w:right w:val="nil"/>
            </w:tcBorders>
            <w:shd w:val="clear" w:color="auto" w:fill="auto"/>
            <w:noWrap/>
            <w:vAlign w:val="bottom"/>
            <w:hideMark/>
          </w:tcPr>
          <w:p w14:paraId="69C1135A"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single" w:sz="4" w:space="0" w:color="auto"/>
              <w:right w:val="nil"/>
            </w:tcBorders>
            <w:shd w:val="clear" w:color="auto" w:fill="auto"/>
            <w:noWrap/>
            <w:vAlign w:val="bottom"/>
            <w:hideMark/>
          </w:tcPr>
          <w:p w14:paraId="2F1057D6"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PAP issue topic</w:t>
            </w:r>
          </w:p>
        </w:tc>
        <w:tc>
          <w:tcPr>
            <w:tcW w:w="280" w:type="pct"/>
            <w:tcBorders>
              <w:top w:val="nil"/>
              <w:left w:val="nil"/>
              <w:bottom w:val="single" w:sz="4" w:space="0" w:color="auto"/>
              <w:right w:val="nil"/>
            </w:tcBorders>
            <w:shd w:val="clear" w:color="auto" w:fill="auto"/>
            <w:noWrap/>
            <w:vAlign w:val="center"/>
            <w:hideMark/>
          </w:tcPr>
          <w:p w14:paraId="2106750D"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N</w:t>
            </w:r>
          </w:p>
        </w:tc>
      </w:tr>
      <w:tr w:rsidR="00E81D8B" w:rsidRPr="00E81D8B" w14:paraId="0C738C84" w14:textId="77777777" w:rsidTr="00E81D8B">
        <w:trPr>
          <w:trHeight w:val="161"/>
        </w:trPr>
        <w:tc>
          <w:tcPr>
            <w:tcW w:w="2227" w:type="pct"/>
            <w:tcBorders>
              <w:top w:val="nil"/>
              <w:left w:val="nil"/>
              <w:bottom w:val="nil"/>
              <w:right w:val="nil"/>
            </w:tcBorders>
            <w:shd w:val="clear" w:color="auto" w:fill="auto"/>
            <w:noWrap/>
            <w:vAlign w:val="bottom"/>
            <w:hideMark/>
          </w:tcPr>
          <w:p w14:paraId="1B1E6E73" w14:textId="77777777" w:rsidR="00E81D8B" w:rsidRPr="00E81D8B" w:rsidRDefault="00E81D8B" w:rsidP="00E81D8B">
            <w:pPr>
              <w:jc w:val="left"/>
              <w:rPr>
                <w:rFonts w:eastAsia="Times New Roman" w:cs="Times New Roman"/>
                <w:color w:val="000000"/>
                <w:sz w:val="6"/>
                <w:szCs w:val="6"/>
              </w:rPr>
            </w:pPr>
          </w:p>
        </w:tc>
        <w:tc>
          <w:tcPr>
            <w:tcW w:w="225" w:type="pct"/>
            <w:tcBorders>
              <w:top w:val="nil"/>
              <w:left w:val="nil"/>
              <w:bottom w:val="nil"/>
              <w:right w:val="nil"/>
            </w:tcBorders>
            <w:shd w:val="clear" w:color="auto" w:fill="auto"/>
            <w:noWrap/>
            <w:vAlign w:val="bottom"/>
            <w:hideMark/>
          </w:tcPr>
          <w:p w14:paraId="797FF50F" w14:textId="77777777" w:rsidR="00E81D8B" w:rsidRPr="00E81D8B" w:rsidRDefault="00E81D8B" w:rsidP="00E81D8B">
            <w:pPr>
              <w:rPr>
                <w:rFonts w:eastAsia="Times New Roman" w:cs="Times New Roman"/>
                <w:color w:val="000000"/>
                <w:sz w:val="6"/>
                <w:szCs w:val="6"/>
              </w:rPr>
            </w:pPr>
          </w:p>
        </w:tc>
        <w:tc>
          <w:tcPr>
            <w:tcW w:w="96" w:type="pct"/>
            <w:tcBorders>
              <w:top w:val="nil"/>
              <w:left w:val="nil"/>
              <w:bottom w:val="nil"/>
              <w:right w:val="nil"/>
            </w:tcBorders>
            <w:shd w:val="clear" w:color="auto" w:fill="auto"/>
            <w:noWrap/>
            <w:vAlign w:val="bottom"/>
            <w:hideMark/>
          </w:tcPr>
          <w:p w14:paraId="3CE944FF" w14:textId="77777777" w:rsidR="00E81D8B" w:rsidRPr="00E81D8B" w:rsidRDefault="00E81D8B" w:rsidP="00E81D8B">
            <w:pPr>
              <w:jc w:val="left"/>
              <w:rPr>
                <w:rFonts w:eastAsia="Times New Roman" w:cs="Times New Roman"/>
                <w:color w:val="000000"/>
                <w:sz w:val="6"/>
                <w:szCs w:val="6"/>
              </w:rPr>
            </w:pPr>
          </w:p>
        </w:tc>
        <w:tc>
          <w:tcPr>
            <w:tcW w:w="2172" w:type="pct"/>
            <w:tcBorders>
              <w:top w:val="nil"/>
              <w:left w:val="nil"/>
              <w:bottom w:val="nil"/>
              <w:right w:val="nil"/>
            </w:tcBorders>
            <w:shd w:val="clear" w:color="auto" w:fill="auto"/>
            <w:noWrap/>
            <w:vAlign w:val="bottom"/>
            <w:hideMark/>
          </w:tcPr>
          <w:p w14:paraId="5C08D0EA" w14:textId="77777777" w:rsidR="00E81D8B" w:rsidRPr="00E81D8B" w:rsidRDefault="00E81D8B" w:rsidP="00E81D8B">
            <w:pPr>
              <w:jc w:val="left"/>
              <w:rPr>
                <w:rFonts w:eastAsia="Times New Roman" w:cs="Times New Roman"/>
                <w:color w:val="000000"/>
                <w:sz w:val="6"/>
                <w:szCs w:val="6"/>
              </w:rPr>
            </w:pPr>
          </w:p>
        </w:tc>
        <w:tc>
          <w:tcPr>
            <w:tcW w:w="280" w:type="pct"/>
            <w:tcBorders>
              <w:top w:val="nil"/>
              <w:left w:val="nil"/>
              <w:bottom w:val="nil"/>
              <w:right w:val="nil"/>
            </w:tcBorders>
            <w:shd w:val="clear" w:color="auto" w:fill="auto"/>
            <w:noWrap/>
            <w:vAlign w:val="bottom"/>
            <w:hideMark/>
          </w:tcPr>
          <w:p w14:paraId="59437886" w14:textId="77777777" w:rsidR="00E81D8B" w:rsidRPr="00E81D8B" w:rsidRDefault="00E81D8B" w:rsidP="00E81D8B">
            <w:pPr>
              <w:rPr>
                <w:rFonts w:eastAsia="Times New Roman" w:cs="Times New Roman"/>
                <w:color w:val="000000"/>
                <w:sz w:val="6"/>
                <w:szCs w:val="6"/>
              </w:rPr>
            </w:pPr>
          </w:p>
        </w:tc>
      </w:tr>
      <w:tr w:rsidR="00E81D8B" w:rsidRPr="00E81D8B" w14:paraId="15FF2777" w14:textId="77777777" w:rsidTr="00E81D8B">
        <w:trPr>
          <w:trHeight w:val="300"/>
        </w:trPr>
        <w:tc>
          <w:tcPr>
            <w:tcW w:w="2227" w:type="pct"/>
            <w:tcBorders>
              <w:top w:val="nil"/>
              <w:left w:val="nil"/>
              <w:bottom w:val="nil"/>
              <w:right w:val="nil"/>
            </w:tcBorders>
            <w:shd w:val="clear" w:color="auto" w:fill="auto"/>
            <w:noWrap/>
            <w:vAlign w:val="center"/>
            <w:hideMark/>
          </w:tcPr>
          <w:p w14:paraId="47E263A4" w14:textId="77777777" w:rsidR="00E81D8B" w:rsidRPr="00E81D8B" w:rsidRDefault="00E81D8B" w:rsidP="00E81D8B">
            <w:pPr>
              <w:jc w:val="left"/>
              <w:rPr>
                <w:rFonts w:eastAsia="Times New Roman" w:cs="Times New Roman"/>
                <w:i/>
                <w:iCs/>
                <w:color w:val="000000"/>
                <w:sz w:val="22"/>
              </w:rPr>
            </w:pPr>
            <w:r w:rsidRPr="00E81D8B">
              <w:rPr>
                <w:rFonts w:eastAsia="Times New Roman" w:cs="Times New Roman"/>
                <w:i/>
                <w:iCs/>
                <w:color w:val="000000"/>
                <w:sz w:val="22"/>
              </w:rPr>
              <w:t>High-salience:</w:t>
            </w:r>
          </w:p>
        </w:tc>
        <w:tc>
          <w:tcPr>
            <w:tcW w:w="225" w:type="pct"/>
            <w:tcBorders>
              <w:top w:val="nil"/>
              <w:left w:val="nil"/>
              <w:bottom w:val="nil"/>
              <w:right w:val="nil"/>
            </w:tcBorders>
            <w:shd w:val="clear" w:color="auto" w:fill="auto"/>
            <w:noWrap/>
            <w:vAlign w:val="center"/>
            <w:hideMark/>
          </w:tcPr>
          <w:p w14:paraId="5315738D" w14:textId="77777777" w:rsidR="00E81D8B" w:rsidRPr="00E81D8B" w:rsidRDefault="00E81D8B" w:rsidP="00E81D8B">
            <w:pPr>
              <w:rPr>
                <w:rFonts w:eastAsia="Times New Roman" w:cs="Times New Roman"/>
                <w:color w:val="000000"/>
                <w:sz w:val="22"/>
              </w:rPr>
            </w:pPr>
          </w:p>
        </w:tc>
        <w:tc>
          <w:tcPr>
            <w:tcW w:w="96" w:type="pct"/>
            <w:tcBorders>
              <w:top w:val="nil"/>
              <w:left w:val="nil"/>
              <w:bottom w:val="nil"/>
              <w:right w:val="nil"/>
            </w:tcBorders>
            <w:shd w:val="clear" w:color="auto" w:fill="auto"/>
            <w:noWrap/>
            <w:vAlign w:val="center"/>
            <w:hideMark/>
          </w:tcPr>
          <w:p w14:paraId="78FED46A"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6327F1CC" w14:textId="77777777" w:rsidR="00E81D8B" w:rsidRPr="00E81D8B" w:rsidRDefault="00E81D8B" w:rsidP="00E81D8B">
            <w:pPr>
              <w:jc w:val="left"/>
              <w:rPr>
                <w:rFonts w:eastAsia="Times New Roman" w:cs="Times New Roman"/>
                <w:i/>
                <w:iCs/>
                <w:color w:val="000000"/>
                <w:sz w:val="22"/>
              </w:rPr>
            </w:pPr>
            <w:r w:rsidRPr="00E81D8B">
              <w:rPr>
                <w:rFonts w:eastAsia="Times New Roman" w:cs="Times New Roman"/>
                <w:i/>
                <w:iCs/>
                <w:color w:val="000000"/>
                <w:sz w:val="22"/>
              </w:rPr>
              <w:t>High-salience:</w:t>
            </w:r>
          </w:p>
        </w:tc>
        <w:tc>
          <w:tcPr>
            <w:tcW w:w="280" w:type="pct"/>
            <w:tcBorders>
              <w:top w:val="nil"/>
              <w:left w:val="nil"/>
              <w:bottom w:val="nil"/>
              <w:right w:val="nil"/>
            </w:tcBorders>
            <w:shd w:val="clear" w:color="auto" w:fill="auto"/>
            <w:noWrap/>
            <w:vAlign w:val="center"/>
            <w:hideMark/>
          </w:tcPr>
          <w:p w14:paraId="0E7412BA" w14:textId="77777777" w:rsidR="00E81D8B" w:rsidRPr="00E81D8B" w:rsidRDefault="00E81D8B" w:rsidP="00E81D8B">
            <w:pPr>
              <w:rPr>
                <w:rFonts w:eastAsia="Times New Roman" w:cs="Times New Roman"/>
                <w:color w:val="000000"/>
                <w:sz w:val="22"/>
              </w:rPr>
            </w:pPr>
          </w:p>
        </w:tc>
      </w:tr>
      <w:tr w:rsidR="00E81D8B" w:rsidRPr="00E81D8B" w14:paraId="14D6F3E4" w14:textId="77777777" w:rsidTr="00E81D8B">
        <w:trPr>
          <w:trHeight w:val="300"/>
        </w:trPr>
        <w:tc>
          <w:tcPr>
            <w:tcW w:w="2227" w:type="pct"/>
            <w:tcBorders>
              <w:top w:val="nil"/>
              <w:left w:val="nil"/>
              <w:bottom w:val="nil"/>
              <w:right w:val="nil"/>
            </w:tcBorders>
            <w:shd w:val="clear" w:color="auto" w:fill="auto"/>
            <w:noWrap/>
            <w:vAlign w:val="center"/>
            <w:hideMark/>
          </w:tcPr>
          <w:p w14:paraId="7899B50D"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300: Health: General</w:t>
            </w:r>
          </w:p>
        </w:tc>
        <w:tc>
          <w:tcPr>
            <w:tcW w:w="225" w:type="pct"/>
            <w:tcBorders>
              <w:top w:val="nil"/>
              <w:left w:val="nil"/>
              <w:bottom w:val="nil"/>
              <w:right w:val="nil"/>
            </w:tcBorders>
            <w:shd w:val="clear" w:color="auto" w:fill="auto"/>
            <w:noWrap/>
            <w:vAlign w:val="center"/>
            <w:hideMark/>
          </w:tcPr>
          <w:p w14:paraId="3BC3B619"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4</w:t>
            </w:r>
          </w:p>
        </w:tc>
        <w:tc>
          <w:tcPr>
            <w:tcW w:w="96" w:type="pct"/>
            <w:tcBorders>
              <w:top w:val="nil"/>
              <w:left w:val="nil"/>
              <w:bottom w:val="nil"/>
              <w:right w:val="nil"/>
            </w:tcBorders>
            <w:shd w:val="clear" w:color="auto" w:fill="auto"/>
            <w:noWrap/>
            <w:vAlign w:val="center"/>
            <w:hideMark/>
          </w:tcPr>
          <w:p w14:paraId="5E2DB904"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1B1FC9CA"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300: Health: General</w:t>
            </w:r>
          </w:p>
        </w:tc>
        <w:tc>
          <w:tcPr>
            <w:tcW w:w="280" w:type="pct"/>
            <w:tcBorders>
              <w:top w:val="nil"/>
              <w:left w:val="nil"/>
              <w:bottom w:val="nil"/>
              <w:right w:val="nil"/>
            </w:tcBorders>
            <w:shd w:val="clear" w:color="auto" w:fill="auto"/>
            <w:noWrap/>
            <w:vAlign w:val="center"/>
            <w:hideMark/>
          </w:tcPr>
          <w:p w14:paraId="2D8CFD1C"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4</w:t>
            </w:r>
          </w:p>
        </w:tc>
      </w:tr>
      <w:tr w:rsidR="00E81D8B" w:rsidRPr="00E81D8B" w14:paraId="543B2339" w14:textId="77777777" w:rsidTr="00E81D8B">
        <w:trPr>
          <w:trHeight w:val="300"/>
        </w:trPr>
        <w:tc>
          <w:tcPr>
            <w:tcW w:w="2227" w:type="pct"/>
            <w:tcBorders>
              <w:top w:val="nil"/>
              <w:left w:val="nil"/>
              <w:bottom w:val="nil"/>
              <w:right w:val="nil"/>
            </w:tcBorders>
            <w:shd w:val="clear" w:color="auto" w:fill="auto"/>
            <w:noWrap/>
            <w:vAlign w:val="center"/>
            <w:hideMark/>
          </w:tcPr>
          <w:p w14:paraId="155727B4"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301: "Comprehensive health care reform"</w:t>
            </w:r>
          </w:p>
        </w:tc>
        <w:tc>
          <w:tcPr>
            <w:tcW w:w="225" w:type="pct"/>
            <w:tcBorders>
              <w:top w:val="nil"/>
              <w:left w:val="nil"/>
              <w:bottom w:val="nil"/>
              <w:right w:val="nil"/>
            </w:tcBorders>
            <w:shd w:val="clear" w:color="auto" w:fill="auto"/>
            <w:noWrap/>
            <w:vAlign w:val="center"/>
            <w:hideMark/>
          </w:tcPr>
          <w:p w14:paraId="4B9AEEDE"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9</w:t>
            </w:r>
          </w:p>
        </w:tc>
        <w:tc>
          <w:tcPr>
            <w:tcW w:w="96" w:type="pct"/>
            <w:tcBorders>
              <w:top w:val="nil"/>
              <w:left w:val="nil"/>
              <w:bottom w:val="nil"/>
              <w:right w:val="nil"/>
            </w:tcBorders>
            <w:shd w:val="clear" w:color="auto" w:fill="auto"/>
            <w:noWrap/>
            <w:vAlign w:val="center"/>
            <w:hideMark/>
          </w:tcPr>
          <w:p w14:paraId="11CAA99F"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26D9EC9D"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301: "Comprehensive health care reform"</w:t>
            </w:r>
          </w:p>
        </w:tc>
        <w:tc>
          <w:tcPr>
            <w:tcW w:w="280" w:type="pct"/>
            <w:tcBorders>
              <w:top w:val="nil"/>
              <w:left w:val="nil"/>
              <w:bottom w:val="nil"/>
              <w:right w:val="nil"/>
            </w:tcBorders>
            <w:shd w:val="clear" w:color="auto" w:fill="auto"/>
            <w:noWrap/>
            <w:vAlign w:val="center"/>
            <w:hideMark/>
          </w:tcPr>
          <w:p w14:paraId="11571130"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5</w:t>
            </w:r>
          </w:p>
        </w:tc>
      </w:tr>
      <w:tr w:rsidR="00E81D8B" w:rsidRPr="00E81D8B" w14:paraId="3A714BC7" w14:textId="77777777" w:rsidTr="00E81D8B">
        <w:trPr>
          <w:trHeight w:val="300"/>
        </w:trPr>
        <w:tc>
          <w:tcPr>
            <w:tcW w:w="2227" w:type="pct"/>
            <w:tcBorders>
              <w:top w:val="nil"/>
              <w:left w:val="nil"/>
              <w:bottom w:val="nil"/>
              <w:right w:val="nil"/>
            </w:tcBorders>
            <w:shd w:val="clear" w:color="auto" w:fill="auto"/>
            <w:noWrap/>
            <w:vAlign w:val="center"/>
            <w:hideMark/>
          </w:tcPr>
          <w:p w14:paraId="7BC311CD"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302: "Insurance reform, availability, and cost"</w:t>
            </w:r>
          </w:p>
        </w:tc>
        <w:tc>
          <w:tcPr>
            <w:tcW w:w="225" w:type="pct"/>
            <w:tcBorders>
              <w:top w:val="nil"/>
              <w:left w:val="nil"/>
              <w:bottom w:val="nil"/>
              <w:right w:val="nil"/>
            </w:tcBorders>
            <w:shd w:val="clear" w:color="auto" w:fill="auto"/>
            <w:noWrap/>
            <w:vAlign w:val="center"/>
            <w:hideMark/>
          </w:tcPr>
          <w:p w14:paraId="058EEC59"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40</w:t>
            </w:r>
          </w:p>
        </w:tc>
        <w:tc>
          <w:tcPr>
            <w:tcW w:w="96" w:type="pct"/>
            <w:tcBorders>
              <w:top w:val="nil"/>
              <w:left w:val="nil"/>
              <w:bottom w:val="nil"/>
              <w:right w:val="nil"/>
            </w:tcBorders>
            <w:shd w:val="clear" w:color="auto" w:fill="auto"/>
            <w:noWrap/>
            <w:vAlign w:val="center"/>
            <w:hideMark/>
          </w:tcPr>
          <w:p w14:paraId="570DC402"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46256AFA"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302: "Insurance reform, availability, and cost"</w:t>
            </w:r>
          </w:p>
        </w:tc>
        <w:tc>
          <w:tcPr>
            <w:tcW w:w="280" w:type="pct"/>
            <w:tcBorders>
              <w:top w:val="nil"/>
              <w:left w:val="nil"/>
              <w:bottom w:val="nil"/>
              <w:right w:val="nil"/>
            </w:tcBorders>
            <w:shd w:val="clear" w:color="auto" w:fill="auto"/>
            <w:noWrap/>
            <w:vAlign w:val="center"/>
            <w:hideMark/>
          </w:tcPr>
          <w:p w14:paraId="2485C207"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40</w:t>
            </w:r>
          </w:p>
        </w:tc>
      </w:tr>
      <w:tr w:rsidR="00E81D8B" w:rsidRPr="00E81D8B" w14:paraId="72D4A756" w14:textId="77777777" w:rsidTr="00E81D8B">
        <w:trPr>
          <w:trHeight w:val="300"/>
        </w:trPr>
        <w:tc>
          <w:tcPr>
            <w:tcW w:w="2227" w:type="pct"/>
            <w:tcBorders>
              <w:top w:val="nil"/>
              <w:left w:val="nil"/>
              <w:bottom w:val="nil"/>
              <w:right w:val="nil"/>
            </w:tcBorders>
            <w:shd w:val="clear" w:color="auto" w:fill="auto"/>
            <w:noWrap/>
            <w:vAlign w:val="center"/>
            <w:hideMark/>
          </w:tcPr>
          <w:p w14:paraId="2774E4D7"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322: "Facilities construction, regulation, and payments"</w:t>
            </w:r>
          </w:p>
        </w:tc>
        <w:tc>
          <w:tcPr>
            <w:tcW w:w="225" w:type="pct"/>
            <w:tcBorders>
              <w:top w:val="nil"/>
              <w:left w:val="nil"/>
              <w:bottom w:val="nil"/>
              <w:right w:val="nil"/>
            </w:tcBorders>
            <w:shd w:val="clear" w:color="auto" w:fill="auto"/>
            <w:noWrap/>
            <w:vAlign w:val="center"/>
            <w:hideMark/>
          </w:tcPr>
          <w:p w14:paraId="4A7BD3E3"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20</w:t>
            </w:r>
          </w:p>
        </w:tc>
        <w:tc>
          <w:tcPr>
            <w:tcW w:w="96" w:type="pct"/>
            <w:tcBorders>
              <w:top w:val="nil"/>
              <w:left w:val="nil"/>
              <w:bottom w:val="nil"/>
              <w:right w:val="nil"/>
            </w:tcBorders>
            <w:shd w:val="clear" w:color="auto" w:fill="auto"/>
            <w:noWrap/>
            <w:vAlign w:val="center"/>
            <w:hideMark/>
          </w:tcPr>
          <w:p w14:paraId="0B7C85C2"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4324123B"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322: "Facilities construction, regulation, and payments"</w:t>
            </w:r>
          </w:p>
        </w:tc>
        <w:tc>
          <w:tcPr>
            <w:tcW w:w="280" w:type="pct"/>
            <w:tcBorders>
              <w:top w:val="nil"/>
              <w:left w:val="nil"/>
              <w:bottom w:val="nil"/>
              <w:right w:val="nil"/>
            </w:tcBorders>
            <w:shd w:val="clear" w:color="auto" w:fill="auto"/>
            <w:noWrap/>
            <w:vAlign w:val="center"/>
            <w:hideMark/>
          </w:tcPr>
          <w:p w14:paraId="59DC4875"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23</w:t>
            </w:r>
          </w:p>
        </w:tc>
      </w:tr>
      <w:tr w:rsidR="00E81D8B" w:rsidRPr="00E81D8B" w14:paraId="29B35DFC" w14:textId="77777777" w:rsidTr="00E81D8B">
        <w:trPr>
          <w:trHeight w:val="300"/>
        </w:trPr>
        <w:tc>
          <w:tcPr>
            <w:tcW w:w="2227" w:type="pct"/>
            <w:tcBorders>
              <w:top w:val="nil"/>
              <w:left w:val="nil"/>
              <w:bottom w:val="nil"/>
              <w:right w:val="nil"/>
            </w:tcBorders>
            <w:shd w:val="clear" w:color="auto" w:fill="auto"/>
            <w:noWrap/>
            <w:vAlign w:val="center"/>
            <w:hideMark/>
          </w:tcPr>
          <w:p w14:paraId="63249197"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324: "Medical liability, fraud and abuse"</w:t>
            </w:r>
          </w:p>
        </w:tc>
        <w:tc>
          <w:tcPr>
            <w:tcW w:w="225" w:type="pct"/>
            <w:tcBorders>
              <w:top w:val="nil"/>
              <w:left w:val="nil"/>
              <w:bottom w:val="nil"/>
              <w:right w:val="nil"/>
            </w:tcBorders>
            <w:shd w:val="clear" w:color="auto" w:fill="auto"/>
            <w:noWrap/>
            <w:vAlign w:val="center"/>
            <w:hideMark/>
          </w:tcPr>
          <w:p w14:paraId="0CF237BC"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2</w:t>
            </w:r>
          </w:p>
        </w:tc>
        <w:tc>
          <w:tcPr>
            <w:tcW w:w="96" w:type="pct"/>
            <w:tcBorders>
              <w:top w:val="nil"/>
              <w:left w:val="nil"/>
              <w:bottom w:val="nil"/>
              <w:right w:val="nil"/>
            </w:tcBorders>
            <w:shd w:val="clear" w:color="auto" w:fill="auto"/>
            <w:noWrap/>
            <w:vAlign w:val="center"/>
            <w:hideMark/>
          </w:tcPr>
          <w:p w14:paraId="4350CDA9"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0DEEA63D"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324: "Medical liability, fraud and abuse"</w:t>
            </w:r>
          </w:p>
        </w:tc>
        <w:tc>
          <w:tcPr>
            <w:tcW w:w="280" w:type="pct"/>
            <w:tcBorders>
              <w:top w:val="nil"/>
              <w:left w:val="nil"/>
              <w:bottom w:val="nil"/>
              <w:right w:val="nil"/>
            </w:tcBorders>
            <w:shd w:val="clear" w:color="auto" w:fill="auto"/>
            <w:noWrap/>
            <w:vAlign w:val="center"/>
            <w:hideMark/>
          </w:tcPr>
          <w:p w14:paraId="176C1D79"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r>
      <w:tr w:rsidR="00E81D8B" w:rsidRPr="00E81D8B" w14:paraId="1C3FF029" w14:textId="77777777" w:rsidTr="00E81D8B">
        <w:trPr>
          <w:trHeight w:val="300"/>
        </w:trPr>
        <w:tc>
          <w:tcPr>
            <w:tcW w:w="2227" w:type="pct"/>
            <w:tcBorders>
              <w:top w:val="nil"/>
              <w:left w:val="nil"/>
              <w:bottom w:val="nil"/>
              <w:right w:val="nil"/>
            </w:tcBorders>
            <w:shd w:val="clear" w:color="auto" w:fill="auto"/>
            <w:noWrap/>
            <w:vAlign w:val="center"/>
            <w:hideMark/>
          </w:tcPr>
          <w:p w14:paraId="61295AC5"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334: "Long-term care, home health, terminally ill, and rehabilitation services"</w:t>
            </w:r>
          </w:p>
        </w:tc>
        <w:tc>
          <w:tcPr>
            <w:tcW w:w="225" w:type="pct"/>
            <w:tcBorders>
              <w:top w:val="nil"/>
              <w:left w:val="nil"/>
              <w:bottom w:val="nil"/>
              <w:right w:val="nil"/>
            </w:tcBorders>
            <w:shd w:val="clear" w:color="auto" w:fill="auto"/>
            <w:noWrap/>
            <w:vAlign w:val="center"/>
            <w:hideMark/>
          </w:tcPr>
          <w:p w14:paraId="0A8C29B0"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30</w:t>
            </w:r>
          </w:p>
        </w:tc>
        <w:tc>
          <w:tcPr>
            <w:tcW w:w="96" w:type="pct"/>
            <w:tcBorders>
              <w:top w:val="nil"/>
              <w:left w:val="nil"/>
              <w:bottom w:val="nil"/>
              <w:right w:val="nil"/>
            </w:tcBorders>
            <w:shd w:val="clear" w:color="auto" w:fill="auto"/>
            <w:noWrap/>
            <w:vAlign w:val="center"/>
            <w:hideMark/>
          </w:tcPr>
          <w:p w14:paraId="3E27EA8D"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1C5E041C"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334: "Long-term care, home health, terminally ill, and rehabilitation services"</w:t>
            </w:r>
          </w:p>
        </w:tc>
        <w:tc>
          <w:tcPr>
            <w:tcW w:w="280" w:type="pct"/>
            <w:tcBorders>
              <w:top w:val="nil"/>
              <w:left w:val="nil"/>
              <w:bottom w:val="nil"/>
              <w:right w:val="nil"/>
            </w:tcBorders>
            <w:shd w:val="clear" w:color="auto" w:fill="auto"/>
            <w:noWrap/>
            <w:vAlign w:val="center"/>
            <w:hideMark/>
          </w:tcPr>
          <w:p w14:paraId="5DD05454"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35</w:t>
            </w:r>
          </w:p>
        </w:tc>
      </w:tr>
      <w:tr w:rsidR="00E81D8B" w:rsidRPr="00E81D8B" w14:paraId="6F58CC7B" w14:textId="77777777" w:rsidTr="00E81D8B">
        <w:trPr>
          <w:trHeight w:val="300"/>
        </w:trPr>
        <w:tc>
          <w:tcPr>
            <w:tcW w:w="2227" w:type="pct"/>
            <w:tcBorders>
              <w:top w:val="nil"/>
              <w:left w:val="nil"/>
              <w:bottom w:val="nil"/>
              <w:right w:val="nil"/>
            </w:tcBorders>
            <w:shd w:val="clear" w:color="auto" w:fill="auto"/>
            <w:noWrap/>
            <w:vAlign w:val="center"/>
            <w:hideMark/>
          </w:tcPr>
          <w:p w14:paraId="5BED1FF9"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335: "Prescription drug coverage and costs"</w:t>
            </w:r>
          </w:p>
        </w:tc>
        <w:tc>
          <w:tcPr>
            <w:tcW w:w="225" w:type="pct"/>
            <w:tcBorders>
              <w:top w:val="nil"/>
              <w:left w:val="nil"/>
              <w:bottom w:val="nil"/>
              <w:right w:val="nil"/>
            </w:tcBorders>
            <w:shd w:val="clear" w:color="auto" w:fill="auto"/>
            <w:noWrap/>
            <w:vAlign w:val="center"/>
            <w:hideMark/>
          </w:tcPr>
          <w:p w14:paraId="32F06D72"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52</w:t>
            </w:r>
          </w:p>
        </w:tc>
        <w:tc>
          <w:tcPr>
            <w:tcW w:w="96" w:type="pct"/>
            <w:tcBorders>
              <w:top w:val="nil"/>
              <w:left w:val="nil"/>
              <w:bottom w:val="nil"/>
              <w:right w:val="nil"/>
            </w:tcBorders>
            <w:shd w:val="clear" w:color="auto" w:fill="auto"/>
            <w:noWrap/>
            <w:vAlign w:val="center"/>
            <w:hideMark/>
          </w:tcPr>
          <w:p w14:paraId="4CA38E06"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398C4D54"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335: "Prescription drug coverage and costs"</w:t>
            </w:r>
          </w:p>
        </w:tc>
        <w:tc>
          <w:tcPr>
            <w:tcW w:w="280" w:type="pct"/>
            <w:tcBorders>
              <w:top w:val="nil"/>
              <w:left w:val="nil"/>
              <w:bottom w:val="nil"/>
              <w:right w:val="nil"/>
            </w:tcBorders>
            <w:shd w:val="clear" w:color="auto" w:fill="auto"/>
            <w:noWrap/>
            <w:vAlign w:val="center"/>
            <w:hideMark/>
          </w:tcPr>
          <w:p w14:paraId="567F5E7D"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21</w:t>
            </w:r>
          </w:p>
        </w:tc>
      </w:tr>
      <w:tr w:rsidR="00E81D8B" w:rsidRPr="00E81D8B" w14:paraId="0085F506" w14:textId="77777777" w:rsidTr="00E81D8B">
        <w:trPr>
          <w:trHeight w:val="300"/>
        </w:trPr>
        <w:tc>
          <w:tcPr>
            <w:tcW w:w="2227" w:type="pct"/>
            <w:tcBorders>
              <w:top w:val="nil"/>
              <w:left w:val="nil"/>
              <w:bottom w:val="nil"/>
              <w:right w:val="nil"/>
            </w:tcBorders>
            <w:shd w:val="clear" w:color="auto" w:fill="auto"/>
            <w:noWrap/>
            <w:vAlign w:val="center"/>
            <w:hideMark/>
          </w:tcPr>
          <w:p w14:paraId="3CA97A2D"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336: "Health: Other or multiple benefits and procedures"</w:t>
            </w:r>
          </w:p>
        </w:tc>
        <w:tc>
          <w:tcPr>
            <w:tcW w:w="225" w:type="pct"/>
            <w:tcBorders>
              <w:top w:val="nil"/>
              <w:left w:val="nil"/>
              <w:bottom w:val="nil"/>
              <w:right w:val="nil"/>
            </w:tcBorders>
            <w:shd w:val="clear" w:color="auto" w:fill="auto"/>
            <w:noWrap/>
            <w:vAlign w:val="center"/>
            <w:hideMark/>
          </w:tcPr>
          <w:p w14:paraId="4CC0F4FA"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17</w:t>
            </w:r>
          </w:p>
        </w:tc>
        <w:tc>
          <w:tcPr>
            <w:tcW w:w="96" w:type="pct"/>
            <w:tcBorders>
              <w:top w:val="nil"/>
              <w:left w:val="nil"/>
              <w:bottom w:val="nil"/>
              <w:right w:val="nil"/>
            </w:tcBorders>
            <w:shd w:val="clear" w:color="auto" w:fill="auto"/>
            <w:noWrap/>
            <w:vAlign w:val="center"/>
            <w:hideMark/>
          </w:tcPr>
          <w:p w14:paraId="2182F27D"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379D6CD1"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336: "Health: Other or multiple benefits and procedures"</w:t>
            </w:r>
          </w:p>
        </w:tc>
        <w:tc>
          <w:tcPr>
            <w:tcW w:w="280" w:type="pct"/>
            <w:tcBorders>
              <w:top w:val="nil"/>
              <w:left w:val="nil"/>
              <w:bottom w:val="nil"/>
              <w:right w:val="nil"/>
            </w:tcBorders>
            <w:shd w:val="clear" w:color="auto" w:fill="auto"/>
            <w:noWrap/>
            <w:vAlign w:val="center"/>
            <w:hideMark/>
          </w:tcPr>
          <w:p w14:paraId="2D646BBD"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19</w:t>
            </w:r>
          </w:p>
        </w:tc>
      </w:tr>
      <w:tr w:rsidR="00E81D8B" w:rsidRPr="00E81D8B" w14:paraId="19B31080" w14:textId="77777777" w:rsidTr="00E81D8B">
        <w:trPr>
          <w:trHeight w:val="300"/>
        </w:trPr>
        <w:tc>
          <w:tcPr>
            <w:tcW w:w="2227" w:type="pct"/>
            <w:tcBorders>
              <w:top w:val="nil"/>
              <w:left w:val="nil"/>
              <w:bottom w:val="nil"/>
              <w:right w:val="nil"/>
            </w:tcBorders>
            <w:shd w:val="clear" w:color="auto" w:fill="auto"/>
            <w:noWrap/>
            <w:vAlign w:val="center"/>
            <w:hideMark/>
          </w:tcPr>
          <w:p w14:paraId="2E15A5F9"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398: "Health: Research and development"</w:t>
            </w:r>
          </w:p>
        </w:tc>
        <w:tc>
          <w:tcPr>
            <w:tcW w:w="225" w:type="pct"/>
            <w:tcBorders>
              <w:top w:val="nil"/>
              <w:left w:val="nil"/>
              <w:bottom w:val="nil"/>
              <w:right w:val="nil"/>
            </w:tcBorders>
            <w:shd w:val="clear" w:color="auto" w:fill="auto"/>
            <w:noWrap/>
            <w:vAlign w:val="center"/>
            <w:hideMark/>
          </w:tcPr>
          <w:p w14:paraId="0F8CFD2E"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3</w:t>
            </w:r>
          </w:p>
        </w:tc>
        <w:tc>
          <w:tcPr>
            <w:tcW w:w="96" w:type="pct"/>
            <w:tcBorders>
              <w:top w:val="nil"/>
              <w:left w:val="nil"/>
              <w:bottom w:val="nil"/>
              <w:right w:val="nil"/>
            </w:tcBorders>
            <w:shd w:val="clear" w:color="auto" w:fill="auto"/>
            <w:noWrap/>
            <w:vAlign w:val="center"/>
            <w:hideMark/>
          </w:tcPr>
          <w:p w14:paraId="2ED983C6"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69A10BA5"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398: "Health: Research and development"</w:t>
            </w:r>
          </w:p>
        </w:tc>
        <w:tc>
          <w:tcPr>
            <w:tcW w:w="280" w:type="pct"/>
            <w:tcBorders>
              <w:top w:val="nil"/>
              <w:left w:val="nil"/>
              <w:bottom w:val="nil"/>
              <w:right w:val="nil"/>
            </w:tcBorders>
            <w:shd w:val="clear" w:color="auto" w:fill="auto"/>
            <w:noWrap/>
            <w:vAlign w:val="center"/>
            <w:hideMark/>
          </w:tcPr>
          <w:p w14:paraId="6248B0CA"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3</w:t>
            </w:r>
          </w:p>
        </w:tc>
      </w:tr>
      <w:tr w:rsidR="00E81D8B" w:rsidRPr="00E81D8B" w14:paraId="2D64D3B3" w14:textId="77777777" w:rsidTr="00E81D8B">
        <w:trPr>
          <w:trHeight w:val="300"/>
        </w:trPr>
        <w:tc>
          <w:tcPr>
            <w:tcW w:w="2227" w:type="pct"/>
            <w:tcBorders>
              <w:top w:val="nil"/>
              <w:left w:val="nil"/>
              <w:bottom w:val="nil"/>
              <w:right w:val="nil"/>
            </w:tcBorders>
            <w:shd w:val="clear" w:color="auto" w:fill="auto"/>
            <w:noWrap/>
            <w:vAlign w:val="center"/>
            <w:hideMark/>
          </w:tcPr>
          <w:p w14:paraId="058CAD2F"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1208: "Family Issues"</w:t>
            </w:r>
          </w:p>
        </w:tc>
        <w:tc>
          <w:tcPr>
            <w:tcW w:w="225" w:type="pct"/>
            <w:tcBorders>
              <w:top w:val="nil"/>
              <w:left w:val="nil"/>
              <w:bottom w:val="nil"/>
              <w:right w:val="nil"/>
            </w:tcBorders>
            <w:shd w:val="clear" w:color="auto" w:fill="auto"/>
            <w:noWrap/>
            <w:vAlign w:val="center"/>
            <w:hideMark/>
          </w:tcPr>
          <w:p w14:paraId="00DC9DC6"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c>
          <w:tcPr>
            <w:tcW w:w="96" w:type="pct"/>
            <w:tcBorders>
              <w:top w:val="nil"/>
              <w:left w:val="nil"/>
              <w:bottom w:val="nil"/>
              <w:right w:val="nil"/>
            </w:tcBorders>
            <w:shd w:val="clear" w:color="auto" w:fill="auto"/>
            <w:noWrap/>
            <w:vAlign w:val="center"/>
            <w:hideMark/>
          </w:tcPr>
          <w:p w14:paraId="2A9D6329"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72F1F881"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1208: "Family Issues"</w:t>
            </w:r>
          </w:p>
        </w:tc>
        <w:tc>
          <w:tcPr>
            <w:tcW w:w="280" w:type="pct"/>
            <w:tcBorders>
              <w:top w:val="nil"/>
              <w:left w:val="nil"/>
              <w:bottom w:val="nil"/>
              <w:right w:val="nil"/>
            </w:tcBorders>
            <w:shd w:val="clear" w:color="auto" w:fill="auto"/>
            <w:noWrap/>
            <w:vAlign w:val="center"/>
            <w:hideMark/>
          </w:tcPr>
          <w:p w14:paraId="47D765AF"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3</w:t>
            </w:r>
          </w:p>
        </w:tc>
      </w:tr>
      <w:tr w:rsidR="00E81D8B" w:rsidRPr="00E81D8B" w14:paraId="11DE55FB" w14:textId="77777777" w:rsidTr="00E81D8B">
        <w:trPr>
          <w:trHeight w:val="300"/>
        </w:trPr>
        <w:tc>
          <w:tcPr>
            <w:tcW w:w="2227" w:type="pct"/>
            <w:tcBorders>
              <w:top w:val="nil"/>
              <w:left w:val="nil"/>
              <w:bottom w:val="nil"/>
              <w:right w:val="nil"/>
            </w:tcBorders>
            <w:shd w:val="clear" w:color="auto" w:fill="auto"/>
            <w:noWrap/>
            <w:vAlign w:val="center"/>
            <w:hideMark/>
          </w:tcPr>
          <w:p w14:paraId="101A4DCD"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Total</w:t>
            </w:r>
          </w:p>
        </w:tc>
        <w:tc>
          <w:tcPr>
            <w:tcW w:w="225" w:type="pct"/>
            <w:tcBorders>
              <w:top w:val="nil"/>
              <w:left w:val="nil"/>
              <w:bottom w:val="nil"/>
              <w:right w:val="nil"/>
            </w:tcBorders>
            <w:shd w:val="clear" w:color="auto" w:fill="auto"/>
            <w:noWrap/>
            <w:vAlign w:val="center"/>
            <w:hideMark/>
          </w:tcPr>
          <w:p w14:paraId="5C2767CB"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178</w:t>
            </w:r>
          </w:p>
        </w:tc>
        <w:tc>
          <w:tcPr>
            <w:tcW w:w="96" w:type="pct"/>
            <w:tcBorders>
              <w:top w:val="nil"/>
              <w:left w:val="nil"/>
              <w:bottom w:val="nil"/>
              <w:right w:val="nil"/>
            </w:tcBorders>
            <w:shd w:val="clear" w:color="auto" w:fill="auto"/>
            <w:noWrap/>
            <w:vAlign w:val="center"/>
            <w:hideMark/>
          </w:tcPr>
          <w:p w14:paraId="6EC5CB08"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350AEE83"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Total</w:t>
            </w:r>
          </w:p>
        </w:tc>
        <w:tc>
          <w:tcPr>
            <w:tcW w:w="280" w:type="pct"/>
            <w:tcBorders>
              <w:top w:val="nil"/>
              <w:left w:val="nil"/>
              <w:bottom w:val="nil"/>
              <w:right w:val="nil"/>
            </w:tcBorders>
            <w:shd w:val="clear" w:color="auto" w:fill="auto"/>
            <w:noWrap/>
            <w:vAlign w:val="center"/>
            <w:hideMark/>
          </w:tcPr>
          <w:p w14:paraId="7F6CF41F"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154</w:t>
            </w:r>
          </w:p>
        </w:tc>
      </w:tr>
      <w:tr w:rsidR="00E81D8B" w:rsidRPr="00E81D8B" w14:paraId="6061C479" w14:textId="77777777" w:rsidTr="00E81D8B">
        <w:trPr>
          <w:trHeight w:val="153"/>
        </w:trPr>
        <w:tc>
          <w:tcPr>
            <w:tcW w:w="2227" w:type="pct"/>
            <w:tcBorders>
              <w:top w:val="nil"/>
              <w:left w:val="nil"/>
              <w:bottom w:val="nil"/>
              <w:right w:val="nil"/>
            </w:tcBorders>
            <w:shd w:val="clear" w:color="auto" w:fill="auto"/>
            <w:noWrap/>
            <w:vAlign w:val="center"/>
            <w:hideMark/>
          </w:tcPr>
          <w:p w14:paraId="19953675" w14:textId="77777777" w:rsidR="00E81D8B" w:rsidRPr="00E81D8B" w:rsidRDefault="00E81D8B" w:rsidP="00E81D8B">
            <w:pPr>
              <w:jc w:val="left"/>
              <w:rPr>
                <w:rFonts w:eastAsia="Times New Roman" w:cs="Times New Roman"/>
                <w:color w:val="000000"/>
                <w:sz w:val="6"/>
                <w:szCs w:val="6"/>
              </w:rPr>
            </w:pPr>
          </w:p>
        </w:tc>
        <w:tc>
          <w:tcPr>
            <w:tcW w:w="225" w:type="pct"/>
            <w:tcBorders>
              <w:top w:val="nil"/>
              <w:left w:val="nil"/>
              <w:bottom w:val="nil"/>
              <w:right w:val="nil"/>
            </w:tcBorders>
            <w:shd w:val="clear" w:color="auto" w:fill="auto"/>
            <w:noWrap/>
            <w:vAlign w:val="center"/>
            <w:hideMark/>
          </w:tcPr>
          <w:p w14:paraId="0C56E9CB" w14:textId="77777777" w:rsidR="00E81D8B" w:rsidRPr="00E81D8B" w:rsidRDefault="00E81D8B" w:rsidP="00E81D8B">
            <w:pPr>
              <w:rPr>
                <w:rFonts w:eastAsia="Times New Roman" w:cs="Times New Roman"/>
                <w:color w:val="000000"/>
                <w:sz w:val="6"/>
                <w:szCs w:val="6"/>
              </w:rPr>
            </w:pPr>
          </w:p>
        </w:tc>
        <w:tc>
          <w:tcPr>
            <w:tcW w:w="96" w:type="pct"/>
            <w:tcBorders>
              <w:top w:val="nil"/>
              <w:left w:val="nil"/>
              <w:bottom w:val="nil"/>
              <w:right w:val="nil"/>
            </w:tcBorders>
            <w:shd w:val="clear" w:color="auto" w:fill="auto"/>
            <w:noWrap/>
            <w:vAlign w:val="center"/>
            <w:hideMark/>
          </w:tcPr>
          <w:p w14:paraId="7D53C890" w14:textId="77777777" w:rsidR="00E81D8B" w:rsidRPr="00E81D8B" w:rsidRDefault="00E81D8B" w:rsidP="00E81D8B">
            <w:pPr>
              <w:jc w:val="left"/>
              <w:rPr>
                <w:rFonts w:eastAsia="Times New Roman" w:cs="Times New Roman"/>
                <w:color w:val="000000"/>
                <w:sz w:val="6"/>
                <w:szCs w:val="6"/>
              </w:rPr>
            </w:pPr>
          </w:p>
        </w:tc>
        <w:tc>
          <w:tcPr>
            <w:tcW w:w="2172" w:type="pct"/>
            <w:tcBorders>
              <w:top w:val="nil"/>
              <w:left w:val="nil"/>
              <w:bottom w:val="nil"/>
              <w:right w:val="nil"/>
            </w:tcBorders>
            <w:shd w:val="clear" w:color="auto" w:fill="auto"/>
            <w:noWrap/>
            <w:vAlign w:val="center"/>
            <w:hideMark/>
          </w:tcPr>
          <w:p w14:paraId="124248E2" w14:textId="77777777" w:rsidR="00E81D8B" w:rsidRPr="00E81D8B" w:rsidRDefault="00E81D8B" w:rsidP="00E81D8B">
            <w:pPr>
              <w:jc w:val="left"/>
              <w:rPr>
                <w:rFonts w:eastAsia="Times New Roman" w:cs="Times New Roman"/>
                <w:color w:val="000000"/>
                <w:sz w:val="6"/>
                <w:szCs w:val="6"/>
              </w:rPr>
            </w:pPr>
          </w:p>
        </w:tc>
        <w:tc>
          <w:tcPr>
            <w:tcW w:w="280" w:type="pct"/>
            <w:tcBorders>
              <w:top w:val="nil"/>
              <w:left w:val="nil"/>
              <w:bottom w:val="nil"/>
              <w:right w:val="nil"/>
            </w:tcBorders>
            <w:shd w:val="clear" w:color="auto" w:fill="auto"/>
            <w:noWrap/>
            <w:vAlign w:val="center"/>
            <w:hideMark/>
          </w:tcPr>
          <w:p w14:paraId="13F2B04A" w14:textId="77777777" w:rsidR="00E81D8B" w:rsidRPr="00E81D8B" w:rsidRDefault="00E81D8B" w:rsidP="00E81D8B">
            <w:pPr>
              <w:rPr>
                <w:rFonts w:eastAsia="Times New Roman" w:cs="Times New Roman"/>
                <w:color w:val="000000"/>
                <w:sz w:val="6"/>
                <w:szCs w:val="6"/>
              </w:rPr>
            </w:pPr>
          </w:p>
        </w:tc>
      </w:tr>
      <w:tr w:rsidR="00E81D8B" w:rsidRPr="00E81D8B" w14:paraId="06865016" w14:textId="77777777" w:rsidTr="00E81D8B">
        <w:trPr>
          <w:trHeight w:val="300"/>
        </w:trPr>
        <w:tc>
          <w:tcPr>
            <w:tcW w:w="2227" w:type="pct"/>
            <w:tcBorders>
              <w:top w:val="nil"/>
              <w:left w:val="nil"/>
              <w:bottom w:val="nil"/>
              <w:right w:val="nil"/>
            </w:tcBorders>
            <w:shd w:val="clear" w:color="auto" w:fill="auto"/>
            <w:noWrap/>
            <w:vAlign w:val="center"/>
            <w:hideMark/>
          </w:tcPr>
          <w:p w14:paraId="21BB3BA3" w14:textId="77777777" w:rsidR="00E81D8B" w:rsidRPr="00E81D8B" w:rsidRDefault="00E81D8B" w:rsidP="00E81D8B">
            <w:pPr>
              <w:jc w:val="left"/>
              <w:rPr>
                <w:rFonts w:eastAsia="Times New Roman" w:cs="Times New Roman"/>
                <w:i/>
                <w:iCs/>
                <w:color w:val="000000"/>
                <w:sz w:val="22"/>
              </w:rPr>
            </w:pPr>
            <w:r w:rsidRPr="00E81D8B">
              <w:rPr>
                <w:rFonts w:eastAsia="Times New Roman" w:cs="Times New Roman"/>
                <w:i/>
                <w:iCs/>
                <w:color w:val="000000"/>
                <w:sz w:val="22"/>
              </w:rPr>
              <w:t>Low-salience:</w:t>
            </w:r>
          </w:p>
        </w:tc>
        <w:tc>
          <w:tcPr>
            <w:tcW w:w="225" w:type="pct"/>
            <w:tcBorders>
              <w:top w:val="nil"/>
              <w:left w:val="nil"/>
              <w:bottom w:val="nil"/>
              <w:right w:val="nil"/>
            </w:tcBorders>
            <w:shd w:val="clear" w:color="auto" w:fill="auto"/>
            <w:noWrap/>
            <w:vAlign w:val="center"/>
            <w:hideMark/>
          </w:tcPr>
          <w:p w14:paraId="26EBA259" w14:textId="77777777" w:rsidR="00E81D8B" w:rsidRPr="00E81D8B" w:rsidRDefault="00E81D8B" w:rsidP="00E81D8B">
            <w:pPr>
              <w:rPr>
                <w:rFonts w:eastAsia="Times New Roman" w:cs="Times New Roman"/>
                <w:color w:val="000000"/>
                <w:sz w:val="22"/>
              </w:rPr>
            </w:pPr>
          </w:p>
        </w:tc>
        <w:tc>
          <w:tcPr>
            <w:tcW w:w="96" w:type="pct"/>
            <w:tcBorders>
              <w:top w:val="nil"/>
              <w:left w:val="nil"/>
              <w:bottom w:val="nil"/>
              <w:right w:val="nil"/>
            </w:tcBorders>
            <w:shd w:val="clear" w:color="auto" w:fill="auto"/>
            <w:noWrap/>
            <w:vAlign w:val="center"/>
            <w:hideMark/>
          </w:tcPr>
          <w:p w14:paraId="38C00AC5"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3A6A0A9F" w14:textId="77777777" w:rsidR="00E81D8B" w:rsidRPr="00E81D8B" w:rsidRDefault="00E81D8B" w:rsidP="00E81D8B">
            <w:pPr>
              <w:jc w:val="left"/>
              <w:rPr>
                <w:rFonts w:eastAsia="Times New Roman" w:cs="Times New Roman"/>
                <w:i/>
                <w:iCs/>
                <w:color w:val="000000"/>
                <w:sz w:val="22"/>
              </w:rPr>
            </w:pPr>
            <w:r w:rsidRPr="00E81D8B">
              <w:rPr>
                <w:rFonts w:eastAsia="Times New Roman" w:cs="Times New Roman"/>
                <w:i/>
                <w:iCs/>
                <w:color w:val="000000"/>
                <w:sz w:val="22"/>
              </w:rPr>
              <w:t>Low-salience:</w:t>
            </w:r>
          </w:p>
        </w:tc>
        <w:tc>
          <w:tcPr>
            <w:tcW w:w="280" w:type="pct"/>
            <w:tcBorders>
              <w:top w:val="nil"/>
              <w:left w:val="nil"/>
              <w:bottom w:val="nil"/>
              <w:right w:val="nil"/>
            </w:tcBorders>
            <w:shd w:val="clear" w:color="auto" w:fill="auto"/>
            <w:noWrap/>
            <w:vAlign w:val="center"/>
            <w:hideMark/>
          </w:tcPr>
          <w:p w14:paraId="1126548D" w14:textId="77777777" w:rsidR="00E81D8B" w:rsidRPr="00E81D8B" w:rsidRDefault="00E81D8B" w:rsidP="00E81D8B">
            <w:pPr>
              <w:rPr>
                <w:rFonts w:eastAsia="Times New Roman" w:cs="Times New Roman"/>
                <w:color w:val="000000"/>
                <w:sz w:val="22"/>
              </w:rPr>
            </w:pPr>
          </w:p>
        </w:tc>
      </w:tr>
      <w:tr w:rsidR="00E81D8B" w:rsidRPr="00E81D8B" w14:paraId="65AFCFF6" w14:textId="77777777" w:rsidTr="00E81D8B">
        <w:trPr>
          <w:trHeight w:val="300"/>
        </w:trPr>
        <w:tc>
          <w:tcPr>
            <w:tcW w:w="2227" w:type="pct"/>
            <w:tcBorders>
              <w:top w:val="nil"/>
              <w:left w:val="nil"/>
              <w:bottom w:val="nil"/>
              <w:right w:val="nil"/>
            </w:tcBorders>
            <w:shd w:val="clear" w:color="auto" w:fill="auto"/>
            <w:noWrap/>
            <w:vAlign w:val="center"/>
            <w:hideMark/>
          </w:tcPr>
          <w:p w14:paraId="69BB0B92"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204: "Age discrimination"</w:t>
            </w:r>
          </w:p>
        </w:tc>
        <w:tc>
          <w:tcPr>
            <w:tcW w:w="225" w:type="pct"/>
            <w:tcBorders>
              <w:top w:val="nil"/>
              <w:left w:val="nil"/>
              <w:bottom w:val="nil"/>
              <w:right w:val="nil"/>
            </w:tcBorders>
            <w:shd w:val="clear" w:color="auto" w:fill="auto"/>
            <w:noWrap/>
            <w:vAlign w:val="center"/>
            <w:hideMark/>
          </w:tcPr>
          <w:p w14:paraId="47B7C6FE"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c>
          <w:tcPr>
            <w:tcW w:w="96" w:type="pct"/>
            <w:tcBorders>
              <w:top w:val="nil"/>
              <w:left w:val="nil"/>
              <w:bottom w:val="nil"/>
              <w:right w:val="nil"/>
            </w:tcBorders>
            <w:shd w:val="clear" w:color="auto" w:fill="auto"/>
            <w:noWrap/>
            <w:vAlign w:val="center"/>
            <w:hideMark/>
          </w:tcPr>
          <w:p w14:paraId="7059C7C7"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3F51FE67"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1300: "Social Welfare: General"</w:t>
            </w:r>
          </w:p>
        </w:tc>
        <w:tc>
          <w:tcPr>
            <w:tcW w:w="280" w:type="pct"/>
            <w:tcBorders>
              <w:top w:val="nil"/>
              <w:left w:val="nil"/>
              <w:bottom w:val="nil"/>
              <w:right w:val="nil"/>
            </w:tcBorders>
            <w:shd w:val="clear" w:color="auto" w:fill="auto"/>
            <w:noWrap/>
            <w:vAlign w:val="center"/>
            <w:hideMark/>
          </w:tcPr>
          <w:p w14:paraId="4799787B"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r>
      <w:tr w:rsidR="00E81D8B" w:rsidRPr="00E81D8B" w14:paraId="1B675D17" w14:textId="77777777" w:rsidTr="00E81D8B">
        <w:trPr>
          <w:trHeight w:val="300"/>
        </w:trPr>
        <w:tc>
          <w:tcPr>
            <w:tcW w:w="2227" w:type="pct"/>
            <w:tcBorders>
              <w:top w:val="nil"/>
              <w:left w:val="nil"/>
              <w:bottom w:val="nil"/>
              <w:right w:val="nil"/>
            </w:tcBorders>
            <w:shd w:val="clear" w:color="auto" w:fill="auto"/>
            <w:noWrap/>
            <w:vAlign w:val="center"/>
            <w:hideMark/>
          </w:tcPr>
          <w:p w14:paraId="24CA02EF"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699: "Education: Other"</w:t>
            </w:r>
          </w:p>
        </w:tc>
        <w:tc>
          <w:tcPr>
            <w:tcW w:w="225" w:type="pct"/>
            <w:tcBorders>
              <w:top w:val="nil"/>
              <w:left w:val="nil"/>
              <w:bottom w:val="nil"/>
              <w:right w:val="nil"/>
            </w:tcBorders>
            <w:shd w:val="clear" w:color="auto" w:fill="auto"/>
            <w:noWrap/>
            <w:vAlign w:val="center"/>
            <w:hideMark/>
          </w:tcPr>
          <w:p w14:paraId="74DF5A3F"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c>
          <w:tcPr>
            <w:tcW w:w="96" w:type="pct"/>
            <w:tcBorders>
              <w:top w:val="nil"/>
              <w:left w:val="nil"/>
              <w:bottom w:val="nil"/>
              <w:right w:val="nil"/>
            </w:tcBorders>
            <w:shd w:val="clear" w:color="auto" w:fill="auto"/>
            <w:noWrap/>
            <w:vAlign w:val="center"/>
            <w:hideMark/>
          </w:tcPr>
          <w:p w14:paraId="37961168"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132699A0"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1303: "Elderly Issues and Elderly Assistance Programs (Including Social Security Administration)"</w:t>
            </w:r>
          </w:p>
        </w:tc>
        <w:tc>
          <w:tcPr>
            <w:tcW w:w="280" w:type="pct"/>
            <w:tcBorders>
              <w:top w:val="nil"/>
              <w:left w:val="nil"/>
              <w:bottom w:val="nil"/>
              <w:right w:val="nil"/>
            </w:tcBorders>
            <w:shd w:val="clear" w:color="auto" w:fill="auto"/>
            <w:noWrap/>
            <w:vAlign w:val="center"/>
            <w:hideMark/>
          </w:tcPr>
          <w:p w14:paraId="4AE0569B"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54</w:t>
            </w:r>
          </w:p>
        </w:tc>
      </w:tr>
      <w:tr w:rsidR="00E81D8B" w:rsidRPr="00E81D8B" w14:paraId="733F6460" w14:textId="77777777" w:rsidTr="00E81D8B">
        <w:trPr>
          <w:trHeight w:val="300"/>
        </w:trPr>
        <w:tc>
          <w:tcPr>
            <w:tcW w:w="2227" w:type="pct"/>
            <w:tcBorders>
              <w:top w:val="nil"/>
              <w:left w:val="nil"/>
              <w:bottom w:val="nil"/>
              <w:right w:val="nil"/>
            </w:tcBorders>
            <w:shd w:val="clear" w:color="auto" w:fill="auto"/>
            <w:noWrap/>
            <w:vAlign w:val="center"/>
            <w:hideMark/>
          </w:tcPr>
          <w:p w14:paraId="676AFA98"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1300: "Social Welfare: General"</w:t>
            </w:r>
          </w:p>
        </w:tc>
        <w:tc>
          <w:tcPr>
            <w:tcW w:w="225" w:type="pct"/>
            <w:tcBorders>
              <w:top w:val="nil"/>
              <w:left w:val="nil"/>
              <w:bottom w:val="nil"/>
              <w:right w:val="nil"/>
            </w:tcBorders>
            <w:shd w:val="clear" w:color="auto" w:fill="auto"/>
            <w:noWrap/>
            <w:vAlign w:val="center"/>
            <w:hideMark/>
          </w:tcPr>
          <w:p w14:paraId="0E1C7EC0"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c>
          <w:tcPr>
            <w:tcW w:w="96" w:type="pct"/>
            <w:tcBorders>
              <w:top w:val="nil"/>
              <w:left w:val="nil"/>
              <w:bottom w:val="nil"/>
              <w:right w:val="nil"/>
            </w:tcBorders>
            <w:shd w:val="clear" w:color="auto" w:fill="auto"/>
            <w:noWrap/>
            <w:vAlign w:val="center"/>
            <w:hideMark/>
          </w:tcPr>
          <w:p w14:paraId="763743F1"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41367D98"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1305: "Social Services and Volunteer Associations"</w:t>
            </w:r>
          </w:p>
        </w:tc>
        <w:tc>
          <w:tcPr>
            <w:tcW w:w="280" w:type="pct"/>
            <w:tcBorders>
              <w:top w:val="nil"/>
              <w:left w:val="nil"/>
              <w:bottom w:val="nil"/>
              <w:right w:val="nil"/>
            </w:tcBorders>
            <w:shd w:val="clear" w:color="auto" w:fill="auto"/>
            <w:noWrap/>
            <w:vAlign w:val="center"/>
            <w:hideMark/>
          </w:tcPr>
          <w:p w14:paraId="627D1299"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r>
      <w:tr w:rsidR="00E81D8B" w:rsidRPr="00E81D8B" w14:paraId="666B5A1C" w14:textId="77777777" w:rsidTr="00E81D8B">
        <w:trPr>
          <w:trHeight w:val="300"/>
        </w:trPr>
        <w:tc>
          <w:tcPr>
            <w:tcW w:w="2227" w:type="pct"/>
            <w:tcBorders>
              <w:top w:val="nil"/>
              <w:left w:val="nil"/>
              <w:bottom w:val="nil"/>
              <w:right w:val="nil"/>
            </w:tcBorders>
            <w:shd w:val="clear" w:color="auto" w:fill="auto"/>
            <w:noWrap/>
            <w:vAlign w:val="center"/>
            <w:hideMark/>
          </w:tcPr>
          <w:p w14:paraId="61FAAD2F"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1301: "Food Stamps, Food Assistance, and Nutrition Monitoring Programs"</w:t>
            </w:r>
          </w:p>
        </w:tc>
        <w:tc>
          <w:tcPr>
            <w:tcW w:w="225" w:type="pct"/>
            <w:tcBorders>
              <w:top w:val="nil"/>
              <w:left w:val="nil"/>
              <w:bottom w:val="nil"/>
              <w:right w:val="nil"/>
            </w:tcBorders>
            <w:shd w:val="clear" w:color="auto" w:fill="auto"/>
            <w:noWrap/>
            <w:vAlign w:val="center"/>
            <w:hideMark/>
          </w:tcPr>
          <w:p w14:paraId="68D2DD15"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c>
          <w:tcPr>
            <w:tcW w:w="96" w:type="pct"/>
            <w:tcBorders>
              <w:top w:val="nil"/>
              <w:left w:val="nil"/>
              <w:bottom w:val="nil"/>
              <w:right w:val="nil"/>
            </w:tcBorders>
            <w:shd w:val="clear" w:color="auto" w:fill="auto"/>
            <w:noWrap/>
            <w:vAlign w:val="center"/>
            <w:hideMark/>
          </w:tcPr>
          <w:p w14:paraId="7C7855E0"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2F837E1E"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1408: "Elderly and Handicapped Housing"</w:t>
            </w:r>
          </w:p>
        </w:tc>
        <w:tc>
          <w:tcPr>
            <w:tcW w:w="280" w:type="pct"/>
            <w:tcBorders>
              <w:top w:val="nil"/>
              <w:left w:val="nil"/>
              <w:bottom w:val="nil"/>
              <w:right w:val="nil"/>
            </w:tcBorders>
            <w:shd w:val="clear" w:color="auto" w:fill="auto"/>
            <w:noWrap/>
            <w:vAlign w:val="center"/>
            <w:hideMark/>
          </w:tcPr>
          <w:p w14:paraId="628A1598"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3</w:t>
            </w:r>
          </w:p>
        </w:tc>
      </w:tr>
      <w:tr w:rsidR="00E81D8B" w:rsidRPr="00E81D8B" w14:paraId="6CC89D4A" w14:textId="77777777" w:rsidTr="00E81D8B">
        <w:trPr>
          <w:trHeight w:val="300"/>
        </w:trPr>
        <w:tc>
          <w:tcPr>
            <w:tcW w:w="2227" w:type="pct"/>
            <w:tcBorders>
              <w:top w:val="nil"/>
              <w:left w:val="nil"/>
              <w:bottom w:val="nil"/>
              <w:right w:val="nil"/>
            </w:tcBorders>
            <w:shd w:val="clear" w:color="auto" w:fill="auto"/>
            <w:noWrap/>
            <w:vAlign w:val="center"/>
            <w:hideMark/>
          </w:tcPr>
          <w:p w14:paraId="3F6CC19C"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1303: "Elderly Issues and Elderly Assistance Programs (Including Social Security Administration)"</w:t>
            </w:r>
          </w:p>
        </w:tc>
        <w:tc>
          <w:tcPr>
            <w:tcW w:w="225" w:type="pct"/>
            <w:tcBorders>
              <w:top w:val="nil"/>
              <w:left w:val="nil"/>
              <w:bottom w:val="nil"/>
              <w:right w:val="nil"/>
            </w:tcBorders>
            <w:shd w:val="clear" w:color="auto" w:fill="auto"/>
            <w:noWrap/>
            <w:vAlign w:val="center"/>
            <w:hideMark/>
          </w:tcPr>
          <w:p w14:paraId="4A4C448E"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65</w:t>
            </w:r>
          </w:p>
        </w:tc>
        <w:tc>
          <w:tcPr>
            <w:tcW w:w="96" w:type="pct"/>
            <w:tcBorders>
              <w:top w:val="nil"/>
              <w:left w:val="nil"/>
              <w:bottom w:val="nil"/>
              <w:right w:val="nil"/>
            </w:tcBorders>
            <w:shd w:val="clear" w:color="auto" w:fill="auto"/>
            <w:noWrap/>
            <w:vAlign w:val="center"/>
            <w:hideMark/>
          </w:tcPr>
          <w:p w14:paraId="6AEECEFB"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66875364"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Total</w:t>
            </w:r>
          </w:p>
        </w:tc>
        <w:tc>
          <w:tcPr>
            <w:tcW w:w="280" w:type="pct"/>
            <w:tcBorders>
              <w:top w:val="nil"/>
              <w:left w:val="nil"/>
              <w:bottom w:val="nil"/>
              <w:right w:val="nil"/>
            </w:tcBorders>
            <w:shd w:val="clear" w:color="auto" w:fill="auto"/>
            <w:noWrap/>
            <w:vAlign w:val="center"/>
            <w:hideMark/>
          </w:tcPr>
          <w:p w14:paraId="709705DB"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59</w:t>
            </w:r>
          </w:p>
        </w:tc>
      </w:tr>
      <w:tr w:rsidR="00E81D8B" w:rsidRPr="00E81D8B" w14:paraId="417DCF11" w14:textId="77777777" w:rsidTr="00E81D8B">
        <w:trPr>
          <w:trHeight w:val="300"/>
        </w:trPr>
        <w:tc>
          <w:tcPr>
            <w:tcW w:w="2227" w:type="pct"/>
            <w:tcBorders>
              <w:top w:val="nil"/>
              <w:left w:val="nil"/>
              <w:bottom w:val="nil"/>
              <w:right w:val="nil"/>
            </w:tcBorders>
            <w:shd w:val="clear" w:color="auto" w:fill="auto"/>
            <w:noWrap/>
            <w:vAlign w:val="center"/>
            <w:hideMark/>
          </w:tcPr>
          <w:p w14:paraId="67470E1A"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1304: "Assistance to the Disabled and Handicapped"</w:t>
            </w:r>
          </w:p>
        </w:tc>
        <w:tc>
          <w:tcPr>
            <w:tcW w:w="225" w:type="pct"/>
            <w:tcBorders>
              <w:top w:val="nil"/>
              <w:left w:val="nil"/>
              <w:bottom w:val="nil"/>
              <w:right w:val="nil"/>
            </w:tcBorders>
            <w:shd w:val="clear" w:color="auto" w:fill="auto"/>
            <w:noWrap/>
            <w:vAlign w:val="center"/>
            <w:hideMark/>
          </w:tcPr>
          <w:p w14:paraId="2BF4DCC7"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c>
          <w:tcPr>
            <w:tcW w:w="96" w:type="pct"/>
            <w:tcBorders>
              <w:top w:val="nil"/>
              <w:left w:val="nil"/>
              <w:bottom w:val="nil"/>
              <w:right w:val="nil"/>
            </w:tcBorders>
            <w:shd w:val="clear" w:color="auto" w:fill="auto"/>
            <w:noWrap/>
            <w:vAlign w:val="center"/>
            <w:hideMark/>
          </w:tcPr>
          <w:p w14:paraId="6BC69642"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3C7F4542" w14:textId="77777777" w:rsidR="00E81D8B" w:rsidRPr="00E81D8B" w:rsidRDefault="00E81D8B" w:rsidP="00E81D8B">
            <w:pPr>
              <w:jc w:val="left"/>
              <w:rPr>
                <w:rFonts w:eastAsia="Times New Roman" w:cs="Times New Roman"/>
                <w:color w:val="000000"/>
                <w:sz w:val="22"/>
              </w:rPr>
            </w:pPr>
          </w:p>
        </w:tc>
        <w:tc>
          <w:tcPr>
            <w:tcW w:w="280" w:type="pct"/>
            <w:tcBorders>
              <w:top w:val="nil"/>
              <w:left w:val="nil"/>
              <w:bottom w:val="nil"/>
              <w:right w:val="nil"/>
            </w:tcBorders>
            <w:shd w:val="clear" w:color="auto" w:fill="auto"/>
            <w:noWrap/>
            <w:vAlign w:val="center"/>
            <w:hideMark/>
          </w:tcPr>
          <w:p w14:paraId="7990C260" w14:textId="77777777" w:rsidR="00E81D8B" w:rsidRPr="00E81D8B" w:rsidRDefault="00E81D8B" w:rsidP="00E81D8B">
            <w:pPr>
              <w:rPr>
                <w:rFonts w:eastAsia="Times New Roman" w:cs="Times New Roman"/>
                <w:color w:val="000000"/>
                <w:sz w:val="22"/>
              </w:rPr>
            </w:pPr>
          </w:p>
        </w:tc>
      </w:tr>
      <w:tr w:rsidR="00E81D8B" w:rsidRPr="00E81D8B" w14:paraId="263FEC35" w14:textId="77777777" w:rsidTr="00E81D8B">
        <w:trPr>
          <w:trHeight w:val="300"/>
        </w:trPr>
        <w:tc>
          <w:tcPr>
            <w:tcW w:w="2227" w:type="pct"/>
            <w:tcBorders>
              <w:top w:val="nil"/>
              <w:left w:val="nil"/>
              <w:bottom w:val="nil"/>
              <w:right w:val="nil"/>
            </w:tcBorders>
            <w:shd w:val="clear" w:color="auto" w:fill="auto"/>
            <w:noWrap/>
            <w:vAlign w:val="center"/>
            <w:hideMark/>
          </w:tcPr>
          <w:p w14:paraId="127D9220"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1305: "Social Services and Volunteer Associations"</w:t>
            </w:r>
          </w:p>
        </w:tc>
        <w:tc>
          <w:tcPr>
            <w:tcW w:w="225" w:type="pct"/>
            <w:tcBorders>
              <w:top w:val="nil"/>
              <w:left w:val="nil"/>
              <w:bottom w:val="nil"/>
              <w:right w:val="nil"/>
            </w:tcBorders>
            <w:shd w:val="clear" w:color="auto" w:fill="auto"/>
            <w:noWrap/>
            <w:vAlign w:val="center"/>
            <w:hideMark/>
          </w:tcPr>
          <w:p w14:paraId="765B8C05"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c>
          <w:tcPr>
            <w:tcW w:w="96" w:type="pct"/>
            <w:tcBorders>
              <w:top w:val="nil"/>
              <w:left w:val="nil"/>
              <w:bottom w:val="nil"/>
              <w:right w:val="nil"/>
            </w:tcBorders>
            <w:shd w:val="clear" w:color="auto" w:fill="auto"/>
            <w:noWrap/>
            <w:vAlign w:val="center"/>
            <w:hideMark/>
          </w:tcPr>
          <w:p w14:paraId="31179713"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710B8619" w14:textId="77777777" w:rsidR="00E81D8B" w:rsidRPr="00E81D8B" w:rsidRDefault="00E81D8B" w:rsidP="00E81D8B">
            <w:pPr>
              <w:jc w:val="left"/>
              <w:rPr>
                <w:rFonts w:eastAsia="Times New Roman" w:cs="Times New Roman"/>
                <w:color w:val="000000"/>
                <w:sz w:val="22"/>
              </w:rPr>
            </w:pPr>
          </w:p>
        </w:tc>
        <w:tc>
          <w:tcPr>
            <w:tcW w:w="280" w:type="pct"/>
            <w:tcBorders>
              <w:top w:val="nil"/>
              <w:left w:val="nil"/>
              <w:bottom w:val="nil"/>
              <w:right w:val="nil"/>
            </w:tcBorders>
            <w:shd w:val="clear" w:color="auto" w:fill="auto"/>
            <w:noWrap/>
            <w:vAlign w:val="center"/>
            <w:hideMark/>
          </w:tcPr>
          <w:p w14:paraId="622450E2" w14:textId="77777777" w:rsidR="00E81D8B" w:rsidRPr="00E81D8B" w:rsidRDefault="00E81D8B" w:rsidP="00E81D8B">
            <w:pPr>
              <w:rPr>
                <w:rFonts w:eastAsia="Times New Roman" w:cs="Times New Roman"/>
                <w:color w:val="000000"/>
                <w:sz w:val="22"/>
              </w:rPr>
            </w:pPr>
          </w:p>
        </w:tc>
      </w:tr>
      <w:tr w:rsidR="00E81D8B" w:rsidRPr="00E81D8B" w14:paraId="5D3DF9BD" w14:textId="77777777" w:rsidTr="00E81D8B">
        <w:trPr>
          <w:trHeight w:val="300"/>
        </w:trPr>
        <w:tc>
          <w:tcPr>
            <w:tcW w:w="2227" w:type="pct"/>
            <w:tcBorders>
              <w:top w:val="nil"/>
              <w:left w:val="nil"/>
              <w:bottom w:val="nil"/>
              <w:right w:val="nil"/>
            </w:tcBorders>
            <w:shd w:val="clear" w:color="auto" w:fill="auto"/>
            <w:noWrap/>
            <w:vAlign w:val="center"/>
            <w:hideMark/>
          </w:tcPr>
          <w:p w14:paraId="7D557BA0"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1408: "Elderly and Handicapped Housing"</w:t>
            </w:r>
          </w:p>
        </w:tc>
        <w:tc>
          <w:tcPr>
            <w:tcW w:w="225" w:type="pct"/>
            <w:tcBorders>
              <w:top w:val="nil"/>
              <w:left w:val="nil"/>
              <w:bottom w:val="nil"/>
              <w:right w:val="nil"/>
            </w:tcBorders>
            <w:shd w:val="clear" w:color="auto" w:fill="auto"/>
            <w:noWrap/>
            <w:vAlign w:val="center"/>
            <w:hideMark/>
          </w:tcPr>
          <w:p w14:paraId="5374A92D"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1</w:t>
            </w:r>
          </w:p>
        </w:tc>
        <w:tc>
          <w:tcPr>
            <w:tcW w:w="96" w:type="pct"/>
            <w:tcBorders>
              <w:top w:val="nil"/>
              <w:left w:val="nil"/>
              <w:bottom w:val="nil"/>
              <w:right w:val="nil"/>
            </w:tcBorders>
            <w:shd w:val="clear" w:color="auto" w:fill="auto"/>
            <w:noWrap/>
            <w:vAlign w:val="center"/>
            <w:hideMark/>
          </w:tcPr>
          <w:p w14:paraId="3D8B0D86"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1A928FEB" w14:textId="77777777" w:rsidR="00E81D8B" w:rsidRPr="00E81D8B" w:rsidRDefault="00E81D8B" w:rsidP="00E81D8B">
            <w:pPr>
              <w:jc w:val="left"/>
              <w:rPr>
                <w:rFonts w:eastAsia="Times New Roman" w:cs="Times New Roman"/>
                <w:color w:val="000000"/>
                <w:sz w:val="22"/>
              </w:rPr>
            </w:pPr>
          </w:p>
        </w:tc>
        <w:tc>
          <w:tcPr>
            <w:tcW w:w="280" w:type="pct"/>
            <w:tcBorders>
              <w:top w:val="nil"/>
              <w:left w:val="nil"/>
              <w:bottom w:val="nil"/>
              <w:right w:val="nil"/>
            </w:tcBorders>
            <w:shd w:val="clear" w:color="auto" w:fill="auto"/>
            <w:noWrap/>
            <w:vAlign w:val="center"/>
            <w:hideMark/>
          </w:tcPr>
          <w:p w14:paraId="03A7F3BB" w14:textId="77777777" w:rsidR="00E81D8B" w:rsidRPr="00E81D8B" w:rsidRDefault="00E81D8B" w:rsidP="00E81D8B">
            <w:pPr>
              <w:rPr>
                <w:rFonts w:eastAsia="Times New Roman" w:cs="Times New Roman"/>
                <w:color w:val="000000"/>
                <w:sz w:val="22"/>
              </w:rPr>
            </w:pPr>
          </w:p>
        </w:tc>
      </w:tr>
      <w:tr w:rsidR="00E81D8B" w:rsidRPr="00E81D8B" w14:paraId="3F8C94D4" w14:textId="77777777" w:rsidTr="00E81D8B">
        <w:trPr>
          <w:trHeight w:val="300"/>
        </w:trPr>
        <w:tc>
          <w:tcPr>
            <w:tcW w:w="2227" w:type="pct"/>
            <w:tcBorders>
              <w:top w:val="nil"/>
              <w:left w:val="nil"/>
              <w:bottom w:val="nil"/>
              <w:right w:val="nil"/>
            </w:tcBorders>
            <w:shd w:val="clear" w:color="auto" w:fill="auto"/>
            <w:noWrap/>
            <w:vAlign w:val="center"/>
            <w:hideMark/>
          </w:tcPr>
          <w:p w14:paraId="2DA2B954" w14:textId="77777777" w:rsidR="00E81D8B" w:rsidRPr="00E81D8B" w:rsidRDefault="00E81D8B" w:rsidP="00E81D8B">
            <w:pPr>
              <w:jc w:val="left"/>
              <w:rPr>
                <w:rFonts w:eastAsia="Times New Roman" w:cs="Times New Roman"/>
                <w:color w:val="000000"/>
                <w:sz w:val="22"/>
              </w:rPr>
            </w:pPr>
            <w:r w:rsidRPr="00E81D8B">
              <w:rPr>
                <w:rFonts w:eastAsia="Times New Roman" w:cs="Times New Roman"/>
                <w:color w:val="000000"/>
                <w:sz w:val="22"/>
              </w:rPr>
              <w:t>Total</w:t>
            </w:r>
          </w:p>
        </w:tc>
        <w:tc>
          <w:tcPr>
            <w:tcW w:w="225" w:type="pct"/>
            <w:tcBorders>
              <w:top w:val="nil"/>
              <w:left w:val="nil"/>
              <w:bottom w:val="nil"/>
              <w:right w:val="nil"/>
            </w:tcBorders>
            <w:shd w:val="clear" w:color="auto" w:fill="auto"/>
            <w:noWrap/>
            <w:vAlign w:val="center"/>
            <w:hideMark/>
          </w:tcPr>
          <w:p w14:paraId="56AC940C" w14:textId="77777777" w:rsidR="00E81D8B" w:rsidRPr="00E81D8B" w:rsidRDefault="00E81D8B" w:rsidP="00E81D8B">
            <w:pPr>
              <w:rPr>
                <w:rFonts w:eastAsia="Times New Roman" w:cs="Times New Roman"/>
                <w:color w:val="000000"/>
                <w:sz w:val="22"/>
              </w:rPr>
            </w:pPr>
            <w:r w:rsidRPr="00E81D8B">
              <w:rPr>
                <w:rFonts w:eastAsia="Times New Roman" w:cs="Times New Roman"/>
                <w:color w:val="000000"/>
                <w:sz w:val="22"/>
              </w:rPr>
              <w:t>72</w:t>
            </w:r>
          </w:p>
        </w:tc>
        <w:tc>
          <w:tcPr>
            <w:tcW w:w="96" w:type="pct"/>
            <w:tcBorders>
              <w:top w:val="nil"/>
              <w:left w:val="nil"/>
              <w:bottom w:val="nil"/>
              <w:right w:val="nil"/>
            </w:tcBorders>
            <w:shd w:val="clear" w:color="auto" w:fill="auto"/>
            <w:noWrap/>
            <w:vAlign w:val="center"/>
            <w:hideMark/>
          </w:tcPr>
          <w:p w14:paraId="35B8639B" w14:textId="77777777" w:rsidR="00E81D8B" w:rsidRPr="00E81D8B" w:rsidRDefault="00E81D8B" w:rsidP="00E81D8B">
            <w:pPr>
              <w:jc w:val="left"/>
              <w:rPr>
                <w:rFonts w:eastAsia="Times New Roman" w:cs="Times New Roman"/>
                <w:color w:val="000000"/>
                <w:sz w:val="22"/>
              </w:rPr>
            </w:pPr>
          </w:p>
        </w:tc>
        <w:tc>
          <w:tcPr>
            <w:tcW w:w="2172" w:type="pct"/>
            <w:tcBorders>
              <w:top w:val="nil"/>
              <w:left w:val="nil"/>
              <w:bottom w:val="nil"/>
              <w:right w:val="nil"/>
            </w:tcBorders>
            <w:shd w:val="clear" w:color="auto" w:fill="auto"/>
            <w:noWrap/>
            <w:vAlign w:val="center"/>
            <w:hideMark/>
          </w:tcPr>
          <w:p w14:paraId="7DD20394" w14:textId="77777777" w:rsidR="00E81D8B" w:rsidRPr="00E81D8B" w:rsidRDefault="00E81D8B" w:rsidP="00E81D8B">
            <w:pPr>
              <w:jc w:val="left"/>
              <w:rPr>
                <w:rFonts w:eastAsia="Times New Roman" w:cs="Times New Roman"/>
                <w:color w:val="000000"/>
                <w:sz w:val="22"/>
              </w:rPr>
            </w:pPr>
          </w:p>
        </w:tc>
        <w:tc>
          <w:tcPr>
            <w:tcW w:w="280" w:type="pct"/>
            <w:tcBorders>
              <w:top w:val="nil"/>
              <w:left w:val="nil"/>
              <w:bottom w:val="nil"/>
              <w:right w:val="nil"/>
            </w:tcBorders>
            <w:shd w:val="clear" w:color="auto" w:fill="auto"/>
            <w:noWrap/>
            <w:vAlign w:val="center"/>
            <w:hideMark/>
          </w:tcPr>
          <w:p w14:paraId="7CE02F89" w14:textId="77777777" w:rsidR="00E81D8B" w:rsidRPr="00E81D8B" w:rsidRDefault="00E81D8B" w:rsidP="00E81D8B">
            <w:pPr>
              <w:rPr>
                <w:rFonts w:eastAsia="Times New Roman" w:cs="Times New Roman"/>
                <w:color w:val="000000"/>
                <w:sz w:val="22"/>
              </w:rPr>
            </w:pPr>
          </w:p>
        </w:tc>
      </w:tr>
      <w:tr w:rsidR="00E81D8B" w:rsidRPr="00E81D8B" w14:paraId="699630CD" w14:textId="77777777" w:rsidTr="00E81D8B">
        <w:trPr>
          <w:trHeight w:val="79"/>
        </w:trPr>
        <w:tc>
          <w:tcPr>
            <w:tcW w:w="2227" w:type="pct"/>
            <w:tcBorders>
              <w:top w:val="nil"/>
              <w:left w:val="nil"/>
              <w:bottom w:val="double" w:sz="6" w:space="0" w:color="auto"/>
              <w:right w:val="nil"/>
            </w:tcBorders>
            <w:shd w:val="clear" w:color="auto" w:fill="auto"/>
            <w:noWrap/>
            <w:vAlign w:val="bottom"/>
            <w:hideMark/>
          </w:tcPr>
          <w:p w14:paraId="0F365ED0" w14:textId="77777777" w:rsidR="00E81D8B" w:rsidRPr="00E81D8B" w:rsidRDefault="00E81D8B" w:rsidP="00E81D8B">
            <w:pPr>
              <w:jc w:val="left"/>
              <w:rPr>
                <w:rFonts w:eastAsia="Times New Roman" w:cs="Times New Roman"/>
                <w:color w:val="000000"/>
                <w:sz w:val="6"/>
                <w:szCs w:val="6"/>
              </w:rPr>
            </w:pPr>
            <w:r w:rsidRPr="00E81D8B">
              <w:rPr>
                <w:rFonts w:eastAsia="Times New Roman" w:cs="Times New Roman"/>
                <w:color w:val="000000"/>
                <w:sz w:val="6"/>
                <w:szCs w:val="6"/>
              </w:rPr>
              <w:t> </w:t>
            </w:r>
          </w:p>
        </w:tc>
        <w:tc>
          <w:tcPr>
            <w:tcW w:w="225" w:type="pct"/>
            <w:tcBorders>
              <w:top w:val="nil"/>
              <w:left w:val="nil"/>
              <w:bottom w:val="double" w:sz="6" w:space="0" w:color="auto"/>
              <w:right w:val="nil"/>
            </w:tcBorders>
            <w:shd w:val="clear" w:color="auto" w:fill="auto"/>
            <w:noWrap/>
            <w:vAlign w:val="bottom"/>
            <w:hideMark/>
          </w:tcPr>
          <w:p w14:paraId="33E00437" w14:textId="77777777" w:rsidR="00E81D8B" w:rsidRPr="00E81D8B" w:rsidRDefault="00E81D8B" w:rsidP="00E81D8B">
            <w:pPr>
              <w:rPr>
                <w:rFonts w:eastAsia="Times New Roman" w:cs="Times New Roman"/>
                <w:color w:val="000000"/>
                <w:sz w:val="6"/>
                <w:szCs w:val="6"/>
              </w:rPr>
            </w:pPr>
            <w:r w:rsidRPr="00E81D8B">
              <w:rPr>
                <w:rFonts w:eastAsia="Times New Roman" w:cs="Times New Roman"/>
                <w:color w:val="000000"/>
                <w:sz w:val="6"/>
                <w:szCs w:val="6"/>
              </w:rPr>
              <w:t> </w:t>
            </w:r>
          </w:p>
        </w:tc>
        <w:tc>
          <w:tcPr>
            <w:tcW w:w="96" w:type="pct"/>
            <w:tcBorders>
              <w:top w:val="nil"/>
              <w:left w:val="nil"/>
              <w:bottom w:val="double" w:sz="6" w:space="0" w:color="auto"/>
              <w:right w:val="nil"/>
            </w:tcBorders>
            <w:shd w:val="clear" w:color="auto" w:fill="auto"/>
            <w:noWrap/>
            <w:vAlign w:val="bottom"/>
            <w:hideMark/>
          </w:tcPr>
          <w:p w14:paraId="340E83BA" w14:textId="77777777" w:rsidR="00E81D8B" w:rsidRPr="00E81D8B" w:rsidRDefault="00E81D8B" w:rsidP="00E81D8B">
            <w:pPr>
              <w:jc w:val="left"/>
              <w:rPr>
                <w:rFonts w:eastAsia="Times New Roman" w:cs="Times New Roman"/>
                <w:color w:val="000000"/>
                <w:sz w:val="6"/>
                <w:szCs w:val="6"/>
              </w:rPr>
            </w:pPr>
            <w:r w:rsidRPr="00E81D8B">
              <w:rPr>
                <w:rFonts w:eastAsia="Times New Roman" w:cs="Times New Roman"/>
                <w:color w:val="000000"/>
                <w:sz w:val="6"/>
                <w:szCs w:val="6"/>
              </w:rPr>
              <w:t> </w:t>
            </w:r>
          </w:p>
        </w:tc>
        <w:tc>
          <w:tcPr>
            <w:tcW w:w="2172" w:type="pct"/>
            <w:tcBorders>
              <w:top w:val="nil"/>
              <w:left w:val="nil"/>
              <w:bottom w:val="double" w:sz="6" w:space="0" w:color="auto"/>
              <w:right w:val="nil"/>
            </w:tcBorders>
            <w:shd w:val="clear" w:color="auto" w:fill="auto"/>
            <w:noWrap/>
            <w:vAlign w:val="bottom"/>
            <w:hideMark/>
          </w:tcPr>
          <w:p w14:paraId="2BE056EE" w14:textId="77777777" w:rsidR="00E81D8B" w:rsidRPr="00E81D8B" w:rsidRDefault="00E81D8B" w:rsidP="00E81D8B">
            <w:pPr>
              <w:jc w:val="left"/>
              <w:rPr>
                <w:rFonts w:eastAsia="Times New Roman" w:cs="Times New Roman"/>
                <w:color w:val="000000"/>
                <w:sz w:val="6"/>
                <w:szCs w:val="6"/>
              </w:rPr>
            </w:pPr>
            <w:r w:rsidRPr="00E81D8B">
              <w:rPr>
                <w:rFonts w:eastAsia="Times New Roman" w:cs="Times New Roman"/>
                <w:color w:val="000000"/>
                <w:sz w:val="6"/>
                <w:szCs w:val="6"/>
              </w:rPr>
              <w:t> </w:t>
            </w:r>
          </w:p>
        </w:tc>
        <w:tc>
          <w:tcPr>
            <w:tcW w:w="280" w:type="pct"/>
            <w:tcBorders>
              <w:top w:val="nil"/>
              <w:left w:val="nil"/>
              <w:bottom w:val="double" w:sz="6" w:space="0" w:color="auto"/>
              <w:right w:val="nil"/>
            </w:tcBorders>
            <w:shd w:val="clear" w:color="auto" w:fill="auto"/>
            <w:noWrap/>
            <w:vAlign w:val="bottom"/>
            <w:hideMark/>
          </w:tcPr>
          <w:p w14:paraId="5873B290" w14:textId="77777777" w:rsidR="00E81D8B" w:rsidRPr="00E81D8B" w:rsidRDefault="00E81D8B" w:rsidP="00E81D8B">
            <w:pPr>
              <w:rPr>
                <w:rFonts w:eastAsia="Times New Roman" w:cs="Times New Roman"/>
                <w:color w:val="000000"/>
                <w:sz w:val="6"/>
                <w:szCs w:val="6"/>
              </w:rPr>
            </w:pPr>
            <w:r w:rsidRPr="00E81D8B">
              <w:rPr>
                <w:rFonts w:eastAsia="Times New Roman" w:cs="Times New Roman"/>
                <w:color w:val="000000"/>
                <w:sz w:val="6"/>
                <w:szCs w:val="6"/>
              </w:rPr>
              <w:t> </w:t>
            </w:r>
          </w:p>
        </w:tc>
      </w:tr>
    </w:tbl>
    <w:p w14:paraId="41DB174B" w14:textId="77777777" w:rsidR="00E81D8B" w:rsidRDefault="00E81D8B">
      <w:r>
        <w:br w:type="page"/>
      </w:r>
    </w:p>
    <w:p w14:paraId="0D196487" w14:textId="77777777" w:rsidR="00E81D8B" w:rsidRDefault="00E81D8B" w:rsidP="00E81D8B">
      <w:pPr>
        <w:jc w:val="left"/>
        <w:sectPr w:rsidR="00E81D8B" w:rsidSect="00E81D8B">
          <w:endnotePr>
            <w:numFmt w:val="decimal"/>
          </w:endnotePr>
          <w:pgSz w:w="15840" w:h="12240" w:orient="landscape"/>
          <w:pgMar w:top="1440" w:right="1440" w:bottom="1440" w:left="1440" w:header="720" w:footer="720" w:gutter="0"/>
          <w:cols w:space="720"/>
          <w:docGrid w:linePitch="360"/>
        </w:sectPr>
      </w:pPr>
    </w:p>
    <w:tbl>
      <w:tblPr>
        <w:tblW w:w="5000" w:type="pct"/>
        <w:tblLook w:val="04A0" w:firstRow="1" w:lastRow="0" w:firstColumn="1" w:lastColumn="0" w:noHBand="0" w:noVBand="1"/>
      </w:tblPr>
      <w:tblGrid>
        <w:gridCol w:w="4639"/>
        <w:gridCol w:w="1680"/>
        <w:gridCol w:w="1710"/>
        <w:gridCol w:w="1547"/>
      </w:tblGrid>
      <w:tr w:rsidR="00111C4E" w:rsidRPr="00111C4E" w14:paraId="7CAA7FEF" w14:textId="77777777" w:rsidTr="00111C4E">
        <w:trPr>
          <w:trHeight w:val="360"/>
        </w:trPr>
        <w:tc>
          <w:tcPr>
            <w:tcW w:w="5000" w:type="pct"/>
            <w:gridSpan w:val="4"/>
            <w:tcBorders>
              <w:top w:val="nil"/>
              <w:left w:val="nil"/>
              <w:bottom w:val="double" w:sz="6" w:space="0" w:color="auto"/>
              <w:right w:val="nil"/>
            </w:tcBorders>
            <w:shd w:val="clear" w:color="auto" w:fill="auto"/>
            <w:vAlign w:val="center"/>
            <w:hideMark/>
          </w:tcPr>
          <w:p w14:paraId="22323F13" w14:textId="77777777" w:rsidR="00111C4E" w:rsidRPr="00111C4E" w:rsidRDefault="00E3111A" w:rsidP="00111C4E">
            <w:pPr>
              <w:rPr>
                <w:rFonts w:eastAsia="Times New Roman" w:cs="Times New Roman"/>
                <w:b/>
                <w:bCs/>
                <w:smallCaps/>
                <w:color w:val="000000"/>
                <w:sz w:val="22"/>
              </w:rPr>
            </w:pPr>
            <w:r>
              <w:rPr>
                <w:rFonts w:eastAsia="Times New Roman" w:cs="Times New Roman"/>
                <w:b/>
                <w:bCs/>
                <w:smallCaps/>
                <w:color w:val="000000"/>
                <w:sz w:val="22"/>
              </w:rPr>
              <w:lastRenderedPageBreak/>
              <w:t>TABLE 3</w:t>
            </w:r>
            <w:r w:rsidR="00111C4E" w:rsidRPr="00111C4E">
              <w:rPr>
                <w:rFonts w:eastAsia="Times New Roman" w:cs="Times New Roman"/>
                <w:b/>
                <w:bCs/>
                <w:smallCaps/>
                <w:color w:val="000000"/>
                <w:sz w:val="22"/>
              </w:rPr>
              <w:br/>
              <w:t>Predicting the Likelihood of Sponsoring a "Senior Bill"</w:t>
            </w:r>
            <w:r w:rsidR="00CD72AA">
              <w:rPr>
                <w:rFonts w:eastAsia="Times New Roman" w:cs="Times New Roman"/>
                <w:b/>
                <w:bCs/>
                <w:smallCaps/>
                <w:color w:val="000000"/>
                <w:sz w:val="22"/>
              </w:rPr>
              <w:t>, 109th and 110th Congresses</w:t>
            </w:r>
          </w:p>
        </w:tc>
      </w:tr>
      <w:tr w:rsidR="00111C4E" w:rsidRPr="00111C4E" w14:paraId="49726055" w14:textId="77777777" w:rsidTr="003A7A74">
        <w:trPr>
          <w:trHeight w:val="615"/>
        </w:trPr>
        <w:tc>
          <w:tcPr>
            <w:tcW w:w="2422" w:type="pct"/>
            <w:tcBorders>
              <w:top w:val="nil"/>
              <w:left w:val="nil"/>
              <w:bottom w:val="single" w:sz="4" w:space="0" w:color="auto"/>
              <w:right w:val="nil"/>
            </w:tcBorders>
            <w:shd w:val="clear" w:color="auto" w:fill="auto"/>
            <w:noWrap/>
            <w:vAlign w:val="bottom"/>
            <w:hideMark/>
          </w:tcPr>
          <w:p w14:paraId="33FAF155"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 </w:t>
            </w:r>
          </w:p>
        </w:tc>
        <w:tc>
          <w:tcPr>
            <w:tcW w:w="877" w:type="pct"/>
            <w:tcBorders>
              <w:top w:val="nil"/>
              <w:left w:val="nil"/>
              <w:bottom w:val="single" w:sz="4" w:space="0" w:color="auto"/>
              <w:right w:val="nil"/>
            </w:tcBorders>
            <w:shd w:val="clear" w:color="auto" w:fill="auto"/>
            <w:noWrap/>
            <w:vAlign w:val="bottom"/>
            <w:hideMark/>
          </w:tcPr>
          <w:p w14:paraId="3D0906F2"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All bills</w:t>
            </w:r>
          </w:p>
        </w:tc>
        <w:tc>
          <w:tcPr>
            <w:tcW w:w="893" w:type="pct"/>
            <w:tcBorders>
              <w:top w:val="nil"/>
              <w:left w:val="nil"/>
              <w:bottom w:val="single" w:sz="4" w:space="0" w:color="auto"/>
              <w:right w:val="nil"/>
            </w:tcBorders>
            <w:shd w:val="clear" w:color="auto" w:fill="auto"/>
            <w:vAlign w:val="bottom"/>
            <w:hideMark/>
          </w:tcPr>
          <w:p w14:paraId="1E5C4D2E"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 xml:space="preserve">High salience </w:t>
            </w:r>
            <w:r w:rsidRPr="00111C4E">
              <w:rPr>
                <w:rFonts w:eastAsia="Times New Roman" w:cs="Times New Roman"/>
                <w:color w:val="000000"/>
                <w:sz w:val="22"/>
              </w:rPr>
              <w:br/>
              <w:t>bills only</w:t>
            </w:r>
          </w:p>
        </w:tc>
        <w:tc>
          <w:tcPr>
            <w:tcW w:w="808" w:type="pct"/>
            <w:tcBorders>
              <w:top w:val="nil"/>
              <w:left w:val="nil"/>
              <w:bottom w:val="single" w:sz="4" w:space="0" w:color="auto"/>
              <w:right w:val="nil"/>
            </w:tcBorders>
            <w:shd w:val="clear" w:color="auto" w:fill="auto"/>
            <w:vAlign w:val="bottom"/>
            <w:hideMark/>
          </w:tcPr>
          <w:p w14:paraId="56099A54"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 xml:space="preserve">Low salience </w:t>
            </w:r>
            <w:r w:rsidRPr="00111C4E">
              <w:rPr>
                <w:rFonts w:eastAsia="Times New Roman" w:cs="Times New Roman"/>
                <w:color w:val="000000"/>
                <w:sz w:val="22"/>
              </w:rPr>
              <w:br/>
              <w:t>bills only</w:t>
            </w:r>
          </w:p>
        </w:tc>
      </w:tr>
      <w:tr w:rsidR="00111C4E" w:rsidRPr="00111C4E" w14:paraId="2E8FA8A6" w14:textId="77777777" w:rsidTr="003A7A74">
        <w:trPr>
          <w:trHeight w:val="300"/>
        </w:trPr>
        <w:tc>
          <w:tcPr>
            <w:tcW w:w="2422" w:type="pct"/>
            <w:tcBorders>
              <w:top w:val="nil"/>
              <w:left w:val="nil"/>
              <w:bottom w:val="nil"/>
              <w:right w:val="nil"/>
            </w:tcBorders>
            <w:shd w:val="clear" w:color="auto" w:fill="auto"/>
            <w:noWrap/>
            <w:vAlign w:val="bottom"/>
            <w:hideMark/>
          </w:tcPr>
          <w:p w14:paraId="43E67239" w14:textId="77777777" w:rsidR="00111C4E" w:rsidRPr="00111C4E" w:rsidRDefault="00111C4E" w:rsidP="00111C4E">
            <w:pPr>
              <w:jc w:val="left"/>
              <w:rPr>
                <w:rFonts w:eastAsia="Times New Roman" w:cs="Times New Roman"/>
                <w:color w:val="000000"/>
                <w:sz w:val="22"/>
              </w:rPr>
            </w:pPr>
          </w:p>
        </w:tc>
        <w:tc>
          <w:tcPr>
            <w:tcW w:w="877" w:type="pct"/>
            <w:tcBorders>
              <w:top w:val="nil"/>
              <w:left w:val="nil"/>
              <w:bottom w:val="nil"/>
              <w:right w:val="nil"/>
            </w:tcBorders>
            <w:shd w:val="clear" w:color="auto" w:fill="auto"/>
            <w:noWrap/>
            <w:vAlign w:val="bottom"/>
            <w:hideMark/>
          </w:tcPr>
          <w:p w14:paraId="7AB8CA46" w14:textId="77777777" w:rsidR="00111C4E" w:rsidRPr="00111C4E" w:rsidRDefault="00111C4E" w:rsidP="00111C4E">
            <w:pPr>
              <w:jc w:val="left"/>
              <w:rPr>
                <w:rFonts w:eastAsia="Times New Roman" w:cs="Times New Roman"/>
                <w:color w:val="000000"/>
                <w:sz w:val="22"/>
              </w:rPr>
            </w:pPr>
          </w:p>
        </w:tc>
        <w:tc>
          <w:tcPr>
            <w:tcW w:w="893" w:type="pct"/>
            <w:tcBorders>
              <w:top w:val="nil"/>
              <w:left w:val="nil"/>
              <w:bottom w:val="nil"/>
              <w:right w:val="nil"/>
            </w:tcBorders>
            <w:shd w:val="clear" w:color="auto" w:fill="auto"/>
            <w:noWrap/>
            <w:vAlign w:val="bottom"/>
            <w:hideMark/>
          </w:tcPr>
          <w:p w14:paraId="1E34C9E8" w14:textId="77777777" w:rsidR="00111C4E" w:rsidRPr="00111C4E" w:rsidRDefault="00111C4E" w:rsidP="00111C4E">
            <w:pPr>
              <w:jc w:val="left"/>
              <w:rPr>
                <w:rFonts w:eastAsia="Times New Roman" w:cs="Times New Roman"/>
                <w:color w:val="000000"/>
                <w:sz w:val="22"/>
              </w:rPr>
            </w:pPr>
          </w:p>
        </w:tc>
        <w:tc>
          <w:tcPr>
            <w:tcW w:w="808" w:type="pct"/>
            <w:tcBorders>
              <w:top w:val="nil"/>
              <w:left w:val="nil"/>
              <w:bottom w:val="nil"/>
              <w:right w:val="nil"/>
            </w:tcBorders>
            <w:shd w:val="clear" w:color="auto" w:fill="auto"/>
            <w:noWrap/>
            <w:vAlign w:val="bottom"/>
            <w:hideMark/>
          </w:tcPr>
          <w:p w14:paraId="6A32811A" w14:textId="77777777" w:rsidR="00111C4E" w:rsidRPr="00111C4E" w:rsidRDefault="00111C4E" w:rsidP="00111C4E">
            <w:pPr>
              <w:jc w:val="left"/>
              <w:rPr>
                <w:rFonts w:eastAsia="Times New Roman" w:cs="Times New Roman"/>
                <w:color w:val="000000"/>
                <w:sz w:val="22"/>
              </w:rPr>
            </w:pPr>
          </w:p>
        </w:tc>
      </w:tr>
      <w:tr w:rsidR="00111C4E" w:rsidRPr="00111C4E" w14:paraId="5B9C6026" w14:textId="77777777" w:rsidTr="003A7A74">
        <w:trPr>
          <w:trHeight w:val="600"/>
        </w:trPr>
        <w:tc>
          <w:tcPr>
            <w:tcW w:w="2422" w:type="pct"/>
            <w:tcBorders>
              <w:top w:val="nil"/>
              <w:left w:val="nil"/>
              <w:bottom w:val="nil"/>
              <w:right w:val="nil"/>
            </w:tcBorders>
            <w:shd w:val="clear" w:color="auto" w:fill="auto"/>
            <w:noWrap/>
            <w:vAlign w:val="center"/>
            <w:hideMark/>
          </w:tcPr>
          <w:p w14:paraId="5845B8DA"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Sponsor's age</w:t>
            </w:r>
          </w:p>
        </w:tc>
        <w:tc>
          <w:tcPr>
            <w:tcW w:w="877" w:type="pct"/>
            <w:tcBorders>
              <w:top w:val="nil"/>
              <w:left w:val="nil"/>
              <w:bottom w:val="nil"/>
              <w:right w:val="nil"/>
            </w:tcBorders>
            <w:shd w:val="clear" w:color="auto" w:fill="auto"/>
            <w:vAlign w:val="center"/>
            <w:hideMark/>
          </w:tcPr>
          <w:p w14:paraId="05D16727"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0.001</w:t>
            </w:r>
            <w:r w:rsidRPr="00111C4E">
              <w:rPr>
                <w:rFonts w:eastAsia="Times New Roman" w:cs="Times New Roman"/>
                <w:color w:val="000000"/>
                <w:sz w:val="22"/>
              </w:rPr>
              <w:br/>
              <w:t>(0.008)</w:t>
            </w:r>
          </w:p>
        </w:tc>
        <w:tc>
          <w:tcPr>
            <w:tcW w:w="893" w:type="pct"/>
            <w:tcBorders>
              <w:top w:val="nil"/>
              <w:left w:val="nil"/>
              <w:bottom w:val="nil"/>
              <w:right w:val="nil"/>
            </w:tcBorders>
            <w:shd w:val="clear" w:color="auto" w:fill="auto"/>
            <w:vAlign w:val="center"/>
            <w:hideMark/>
          </w:tcPr>
          <w:p w14:paraId="4D6F027B"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-0.010</w:t>
            </w:r>
            <w:r w:rsidRPr="00111C4E">
              <w:rPr>
                <w:rFonts w:eastAsia="Times New Roman" w:cs="Times New Roman"/>
                <w:color w:val="000000"/>
                <w:sz w:val="22"/>
              </w:rPr>
              <w:br/>
              <w:t>(0.009)</w:t>
            </w:r>
          </w:p>
        </w:tc>
        <w:tc>
          <w:tcPr>
            <w:tcW w:w="808" w:type="pct"/>
            <w:tcBorders>
              <w:top w:val="nil"/>
              <w:left w:val="nil"/>
              <w:bottom w:val="nil"/>
              <w:right w:val="nil"/>
            </w:tcBorders>
            <w:shd w:val="clear" w:color="auto" w:fill="auto"/>
            <w:vAlign w:val="center"/>
            <w:hideMark/>
          </w:tcPr>
          <w:p w14:paraId="36BF152E"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0.029**</w:t>
            </w:r>
            <w:r w:rsidRPr="00111C4E">
              <w:rPr>
                <w:rFonts w:eastAsia="Times New Roman" w:cs="Times New Roman"/>
                <w:color w:val="000000"/>
                <w:sz w:val="22"/>
              </w:rPr>
              <w:br/>
              <w:t>(0.014)</w:t>
            </w:r>
          </w:p>
        </w:tc>
      </w:tr>
      <w:tr w:rsidR="00111C4E" w:rsidRPr="00111C4E" w14:paraId="05540DCC" w14:textId="77777777" w:rsidTr="003A7A74">
        <w:trPr>
          <w:trHeight w:val="300"/>
        </w:trPr>
        <w:tc>
          <w:tcPr>
            <w:tcW w:w="2422" w:type="pct"/>
            <w:tcBorders>
              <w:top w:val="nil"/>
              <w:left w:val="nil"/>
              <w:bottom w:val="nil"/>
              <w:right w:val="nil"/>
            </w:tcBorders>
            <w:shd w:val="clear" w:color="auto" w:fill="auto"/>
            <w:noWrap/>
            <w:vAlign w:val="center"/>
            <w:hideMark/>
          </w:tcPr>
          <w:p w14:paraId="192174DD" w14:textId="77777777" w:rsidR="00111C4E" w:rsidRPr="00111C4E" w:rsidRDefault="00111C4E" w:rsidP="00111C4E">
            <w:pPr>
              <w:jc w:val="left"/>
              <w:rPr>
                <w:rFonts w:eastAsia="Times New Roman" w:cs="Times New Roman"/>
                <w:color w:val="000000"/>
                <w:sz w:val="22"/>
              </w:rPr>
            </w:pPr>
          </w:p>
        </w:tc>
        <w:tc>
          <w:tcPr>
            <w:tcW w:w="877" w:type="pct"/>
            <w:tcBorders>
              <w:top w:val="nil"/>
              <w:left w:val="nil"/>
              <w:bottom w:val="nil"/>
              <w:right w:val="nil"/>
            </w:tcBorders>
            <w:shd w:val="clear" w:color="auto" w:fill="auto"/>
            <w:noWrap/>
            <w:vAlign w:val="center"/>
            <w:hideMark/>
          </w:tcPr>
          <w:p w14:paraId="338CFAB5" w14:textId="77777777" w:rsidR="00111C4E" w:rsidRPr="00111C4E" w:rsidRDefault="00111C4E" w:rsidP="00111C4E">
            <w:pPr>
              <w:jc w:val="left"/>
              <w:rPr>
                <w:rFonts w:eastAsia="Times New Roman" w:cs="Times New Roman"/>
                <w:color w:val="000000"/>
                <w:sz w:val="22"/>
              </w:rPr>
            </w:pPr>
          </w:p>
        </w:tc>
        <w:tc>
          <w:tcPr>
            <w:tcW w:w="893" w:type="pct"/>
            <w:tcBorders>
              <w:top w:val="nil"/>
              <w:left w:val="nil"/>
              <w:bottom w:val="nil"/>
              <w:right w:val="nil"/>
            </w:tcBorders>
            <w:shd w:val="clear" w:color="auto" w:fill="auto"/>
            <w:noWrap/>
            <w:vAlign w:val="center"/>
            <w:hideMark/>
          </w:tcPr>
          <w:p w14:paraId="427AC2FA" w14:textId="77777777" w:rsidR="00111C4E" w:rsidRPr="00111C4E" w:rsidRDefault="00111C4E" w:rsidP="00111C4E">
            <w:pPr>
              <w:jc w:val="left"/>
              <w:rPr>
                <w:rFonts w:eastAsia="Times New Roman" w:cs="Times New Roman"/>
                <w:color w:val="000000"/>
                <w:sz w:val="22"/>
              </w:rPr>
            </w:pPr>
          </w:p>
        </w:tc>
        <w:tc>
          <w:tcPr>
            <w:tcW w:w="808" w:type="pct"/>
            <w:tcBorders>
              <w:top w:val="nil"/>
              <w:left w:val="nil"/>
              <w:bottom w:val="nil"/>
              <w:right w:val="nil"/>
            </w:tcBorders>
            <w:shd w:val="clear" w:color="auto" w:fill="auto"/>
            <w:noWrap/>
            <w:vAlign w:val="center"/>
            <w:hideMark/>
          </w:tcPr>
          <w:p w14:paraId="7A96C6C3" w14:textId="77777777" w:rsidR="00111C4E" w:rsidRPr="00111C4E" w:rsidRDefault="00111C4E" w:rsidP="00111C4E">
            <w:pPr>
              <w:jc w:val="left"/>
              <w:rPr>
                <w:rFonts w:eastAsia="Times New Roman" w:cs="Times New Roman"/>
                <w:color w:val="000000"/>
                <w:sz w:val="22"/>
              </w:rPr>
            </w:pPr>
          </w:p>
        </w:tc>
      </w:tr>
      <w:tr w:rsidR="00111C4E" w:rsidRPr="00111C4E" w14:paraId="2C0DC975" w14:textId="77777777" w:rsidTr="003A7A74">
        <w:trPr>
          <w:trHeight w:val="300"/>
        </w:trPr>
        <w:tc>
          <w:tcPr>
            <w:tcW w:w="2422" w:type="pct"/>
            <w:tcBorders>
              <w:top w:val="nil"/>
              <w:left w:val="nil"/>
              <w:bottom w:val="nil"/>
              <w:right w:val="nil"/>
            </w:tcBorders>
            <w:shd w:val="clear" w:color="auto" w:fill="auto"/>
            <w:noWrap/>
            <w:vAlign w:val="center"/>
            <w:hideMark/>
          </w:tcPr>
          <w:p w14:paraId="04A1EE68" w14:textId="77777777" w:rsidR="00111C4E" w:rsidRPr="00111C4E" w:rsidRDefault="00111C4E" w:rsidP="00111C4E">
            <w:pPr>
              <w:jc w:val="left"/>
              <w:rPr>
                <w:rFonts w:eastAsia="Times New Roman" w:cs="Times New Roman"/>
                <w:b/>
                <w:i/>
                <w:iCs/>
                <w:color w:val="000000"/>
                <w:sz w:val="22"/>
              </w:rPr>
            </w:pPr>
            <w:r w:rsidRPr="00111C4E">
              <w:rPr>
                <w:rFonts w:eastAsia="Times New Roman" w:cs="Times New Roman"/>
                <w:b/>
                <w:i/>
                <w:iCs/>
                <w:color w:val="000000"/>
                <w:sz w:val="22"/>
              </w:rPr>
              <w:t>Constituency characteristics</w:t>
            </w:r>
          </w:p>
        </w:tc>
        <w:tc>
          <w:tcPr>
            <w:tcW w:w="877" w:type="pct"/>
            <w:tcBorders>
              <w:top w:val="nil"/>
              <w:left w:val="nil"/>
              <w:bottom w:val="nil"/>
              <w:right w:val="nil"/>
            </w:tcBorders>
            <w:shd w:val="clear" w:color="auto" w:fill="auto"/>
            <w:noWrap/>
            <w:vAlign w:val="center"/>
            <w:hideMark/>
          </w:tcPr>
          <w:p w14:paraId="5343AE19" w14:textId="77777777" w:rsidR="00111C4E" w:rsidRPr="00111C4E" w:rsidRDefault="00111C4E" w:rsidP="00111C4E">
            <w:pPr>
              <w:jc w:val="left"/>
              <w:rPr>
                <w:rFonts w:eastAsia="Times New Roman" w:cs="Times New Roman"/>
                <w:b/>
                <w:color w:val="000000"/>
                <w:sz w:val="22"/>
              </w:rPr>
            </w:pPr>
          </w:p>
        </w:tc>
        <w:tc>
          <w:tcPr>
            <w:tcW w:w="893" w:type="pct"/>
            <w:tcBorders>
              <w:top w:val="nil"/>
              <w:left w:val="nil"/>
              <w:bottom w:val="nil"/>
              <w:right w:val="nil"/>
            </w:tcBorders>
            <w:shd w:val="clear" w:color="auto" w:fill="auto"/>
            <w:noWrap/>
            <w:vAlign w:val="center"/>
            <w:hideMark/>
          </w:tcPr>
          <w:p w14:paraId="667AD643" w14:textId="77777777" w:rsidR="00111C4E" w:rsidRPr="00111C4E" w:rsidRDefault="00111C4E" w:rsidP="00111C4E">
            <w:pPr>
              <w:jc w:val="left"/>
              <w:rPr>
                <w:rFonts w:eastAsia="Times New Roman" w:cs="Times New Roman"/>
                <w:b/>
                <w:color w:val="000000"/>
                <w:sz w:val="22"/>
              </w:rPr>
            </w:pPr>
          </w:p>
        </w:tc>
        <w:tc>
          <w:tcPr>
            <w:tcW w:w="808" w:type="pct"/>
            <w:tcBorders>
              <w:top w:val="nil"/>
              <w:left w:val="nil"/>
              <w:bottom w:val="nil"/>
              <w:right w:val="nil"/>
            </w:tcBorders>
            <w:shd w:val="clear" w:color="auto" w:fill="auto"/>
            <w:noWrap/>
            <w:vAlign w:val="center"/>
            <w:hideMark/>
          </w:tcPr>
          <w:p w14:paraId="117AB8BC" w14:textId="77777777" w:rsidR="00111C4E" w:rsidRPr="00111C4E" w:rsidRDefault="00111C4E" w:rsidP="00111C4E">
            <w:pPr>
              <w:jc w:val="left"/>
              <w:rPr>
                <w:rFonts w:eastAsia="Times New Roman" w:cs="Times New Roman"/>
                <w:b/>
                <w:color w:val="000000"/>
                <w:sz w:val="22"/>
              </w:rPr>
            </w:pPr>
          </w:p>
        </w:tc>
      </w:tr>
      <w:tr w:rsidR="00111C4E" w:rsidRPr="00111C4E" w14:paraId="25DE2D3B" w14:textId="77777777" w:rsidTr="003A7A74">
        <w:trPr>
          <w:trHeight w:val="600"/>
        </w:trPr>
        <w:tc>
          <w:tcPr>
            <w:tcW w:w="2422" w:type="pct"/>
            <w:tcBorders>
              <w:top w:val="nil"/>
              <w:left w:val="nil"/>
              <w:bottom w:val="nil"/>
              <w:right w:val="nil"/>
            </w:tcBorders>
            <w:shd w:val="clear" w:color="auto" w:fill="auto"/>
            <w:noWrap/>
            <w:vAlign w:val="center"/>
            <w:hideMark/>
          </w:tcPr>
          <w:p w14:paraId="27F65A15" w14:textId="77777777" w:rsidR="00111C4E" w:rsidRPr="00111C4E" w:rsidRDefault="003A7A74" w:rsidP="00111C4E">
            <w:pPr>
              <w:jc w:val="left"/>
              <w:rPr>
                <w:rFonts w:eastAsia="Times New Roman" w:cs="Times New Roman"/>
                <w:color w:val="000000"/>
                <w:sz w:val="22"/>
              </w:rPr>
            </w:pPr>
            <w:r>
              <w:rPr>
                <w:rFonts w:eastAsia="Times New Roman" w:cs="Times New Roman"/>
                <w:color w:val="000000"/>
                <w:sz w:val="22"/>
              </w:rPr>
              <w:t>Percent of</w:t>
            </w:r>
            <w:r w:rsidR="00111C4E" w:rsidRPr="00111C4E">
              <w:rPr>
                <w:rFonts w:eastAsia="Times New Roman" w:cs="Times New Roman"/>
                <w:color w:val="000000"/>
                <w:sz w:val="22"/>
              </w:rPr>
              <w:t xml:space="preserve"> district population over 65</w:t>
            </w:r>
          </w:p>
        </w:tc>
        <w:tc>
          <w:tcPr>
            <w:tcW w:w="877" w:type="pct"/>
            <w:tcBorders>
              <w:top w:val="nil"/>
              <w:left w:val="nil"/>
              <w:bottom w:val="nil"/>
              <w:right w:val="nil"/>
            </w:tcBorders>
            <w:shd w:val="clear" w:color="auto" w:fill="auto"/>
            <w:vAlign w:val="center"/>
            <w:hideMark/>
          </w:tcPr>
          <w:p w14:paraId="30EAA388"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0.041</w:t>
            </w:r>
            <w:r w:rsidRPr="00111C4E">
              <w:rPr>
                <w:rFonts w:eastAsia="Times New Roman" w:cs="Times New Roman"/>
                <w:color w:val="000000"/>
                <w:sz w:val="22"/>
              </w:rPr>
              <w:br/>
              <w:t>(0.025)</w:t>
            </w:r>
          </w:p>
        </w:tc>
        <w:tc>
          <w:tcPr>
            <w:tcW w:w="893" w:type="pct"/>
            <w:tcBorders>
              <w:top w:val="nil"/>
              <w:left w:val="nil"/>
              <w:bottom w:val="nil"/>
              <w:right w:val="nil"/>
            </w:tcBorders>
            <w:shd w:val="clear" w:color="auto" w:fill="auto"/>
            <w:vAlign w:val="center"/>
            <w:hideMark/>
          </w:tcPr>
          <w:p w14:paraId="34907252"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0.052**</w:t>
            </w:r>
            <w:r w:rsidRPr="00111C4E">
              <w:rPr>
                <w:rFonts w:eastAsia="Times New Roman" w:cs="Times New Roman"/>
                <w:color w:val="000000"/>
                <w:sz w:val="22"/>
              </w:rPr>
              <w:br/>
              <w:t>(0.026)</w:t>
            </w:r>
          </w:p>
        </w:tc>
        <w:tc>
          <w:tcPr>
            <w:tcW w:w="808" w:type="pct"/>
            <w:tcBorders>
              <w:top w:val="nil"/>
              <w:left w:val="nil"/>
              <w:bottom w:val="nil"/>
              <w:right w:val="nil"/>
            </w:tcBorders>
            <w:shd w:val="clear" w:color="auto" w:fill="auto"/>
            <w:vAlign w:val="center"/>
            <w:hideMark/>
          </w:tcPr>
          <w:p w14:paraId="247E8C6E"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-0.026</w:t>
            </w:r>
            <w:r w:rsidRPr="00111C4E">
              <w:rPr>
                <w:rFonts w:eastAsia="Times New Roman" w:cs="Times New Roman"/>
                <w:color w:val="000000"/>
                <w:sz w:val="22"/>
              </w:rPr>
              <w:br/>
              <w:t>(0.046)</w:t>
            </w:r>
          </w:p>
        </w:tc>
      </w:tr>
      <w:tr w:rsidR="00111C4E" w:rsidRPr="00111C4E" w14:paraId="3E9D8A5E" w14:textId="77777777" w:rsidTr="003A7A74">
        <w:trPr>
          <w:trHeight w:val="600"/>
        </w:trPr>
        <w:tc>
          <w:tcPr>
            <w:tcW w:w="2422" w:type="pct"/>
            <w:tcBorders>
              <w:top w:val="nil"/>
              <w:left w:val="nil"/>
              <w:bottom w:val="nil"/>
              <w:right w:val="nil"/>
            </w:tcBorders>
            <w:shd w:val="clear" w:color="auto" w:fill="auto"/>
            <w:vAlign w:val="center"/>
            <w:hideMark/>
          </w:tcPr>
          <w:p w14:paraId="5779FF08"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 xml:space="preserve">Spending on Social Security </w:t>
            </w:r>
            <w:r w:rsidRPr="00111C4E">
              <w:rPr>
                <w:rFonts w:eastAsia="Times New Roman" w:cs="Times New Roman"/>
                <w:color w:val="000000"/>
                <w:sz w:val="22"/>
              </w:rPr>
              <w:br/>
              <w:t xml:space="preserve">   (by district)</w:t>
            </w:r>
          </w:p>
        </w:tc>
        <w:tc>
          <w:tcPr>
            <w:tcW w:w="877" w:type="pct"/>
            <w:tcBorders>
              <w:top w:val="nil"/>
              <w:left w:val="nil"/>
              <w:bottom w:val="nil"/>
              <w:right w:val="nil"/>
            </w:tcBorders>
            <w:shd w:val="clear" w:color="auto" w:fill="auto"/>
            <w:vAlign w:val="center"/>
            <w:hideMark/>
          </w:tcPr>
          <w:p w14:paraId="7E39C47F"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0.065</w:t>
            </w:r>
            <w:r w:rsidRPr="00111C4E">
              <w:rPr>
                <w:rFonts w:eastAsia="Times New Roman" w:cs="Times New Roman"/>
                <w:color w:val="000000"/>
                <w:sz w:val="22"/>
              </w:rPr>
              <w:br/>
              <w:t>(0.384)</w:t>
            </w:r>
          </w:p>
        </w:tc>
        <w:tc>
          <w:tcPr>
            <w:tcW w:w="893" w:type="pct"/>
            <w:tcBorders>
              <w:top w:val="nil"/>
              <w:left w:val="nil"/>
              <w:bottom w:val="nil"/>
              <w:right w:val="nil"/>
            </w:tcBorders>
            <w:shd w:val="clear" w:color="auto" w:fill="auto"/>
            <w:vAlign w:val="center"/>
            <w:hideMark/>
          </w:tcPr>
          <w:p w14:paraId="0934403D"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-0.089</w:t>
            </w:r>
            <w:r w:rsidRPr="00111C4E">
              <w:rPr>
                <w:rFonts w:eastAsia="Times New Roman" w:cs="Times New Roman"/>
                <w:color w:val="000000"/>
                <w:sz w:val="22"/>
              </w:rPr>
              <w:br/>
              <w:t>(0.424)</w:t>
            </w:r>
          </w:p>
        </w:tc>
        <w:tc>
          <w:tcPr>
            <w:tcW w:w="808" w:type="pct"/>
            <w:tcBorders>
              <w:top w:val="nil"/>
              <w:left w:val="nil"/>
              <w:bottom w:val="nil"/>
              <w:right w:val="nil"/>
            </w:tcBorders>
            <w:shd w:val="clear" w:color="auto" w:fill="auto"/>
            <w:vAlign w:val="center"/>
            <w:hideMark/>
          </w:tcPr>
          <w:p w14:paraId="349120A1"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0.935</w:t>
            </w:r>
            <w:r w:rsidRPr="00111C4E">
              <w:rPr>
                <w:rFonts w:eastAsia="Times New Roman" w:cs="Times New Roman"/>
                <w:color w:val="000000"/>
                <w:sz w:val="22"/>
              </w:rPr>
              <w:br/>
              <w:t>(0.671)</w:t>
            </w:r>
          </w:p>
        </w:tc>
      </w:tr>
      <w:tr w:rsidR="00111C4E" w:rsidRPr="00111C4E" w14:paraId="0E9BD9B4" w14:textId="77777777" w:rsidTr="003A7A74">
        <w:trPr>
          <w:trHeight w:val="600"/>
        </w:trPr>
        <w:tc>
          <w:tcPr>
            <w:tcW w:w="2422" w:type="pct"/>
            <w:tcBorders>
              <w:top w:val="nil"/>
              <w:left w:val="nil"/>
              <w:bottom w:val="nil"/>
              <w:right w:val="nil"/>
            </w:tcBorders>
            <w:shd w:val="clear" w:color="auto" w:fill="auto"/>
            <w:vAlign w:val="center"/>
            <w:hideMark/>
          </w:tcPr>
          <w:p w14:paraId="3CD215BC"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 xml:space="preserve">Number of Medicare enrollees </w:t>
            </w:r>
            <w:r w:rsidRPr="00111C4E">
              <w:rPr>
                <w:rFonts w:eastAsia="Times New Roman" w:cs="Times New Roman"/>
                <w:color w:val="000000"/>
                <w:sz w:val="22"/>
              </w:rPr>
              <w:br/>
              <w:t xml:space="preserve">   (by state, in hundreds)</w:t>
            </w:r>
          </w:p>
        </w:tc>
        <w:tc>
          <w:tcPr>
            <w:tcW w:w="877" w:type="pct"/>
            <w:tcBorders>
              <w:top w:val="nil"/>
              <w:left w:val="nil"/>
              <w:bottom w:val="nil"/>
              <w:right w:val="nil"/>
            </w:tcBorders>
            <w:shd w:val="clear" w:color="auto" w:fill="auto"/>
            <w:vAlign w:val="center"/>
            <w:hideMark/>
          </w:tcPr>
          <w:p w14:paraId="6298A21D"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0.042</w:t>
            </w:r>
            <w:r w:rsidRPr="00111C4E">
              <w:rPr>
                <w:rFonts w:eastAsia="Times New Roman" w:cs="Times New Roman"/>
                <w:color w:val="000000"/>
                <w:sz w:val="22"/>
              </w:rPr>
              <w:br/>
              <w:t>(0.054)</w:t>
            </w:r>
          </w:p>
        </w:tc>
        <w:tc>
          <w:tcPr>
            <w:tcW w:w="893" w:type="pct"/>
            <w:tcBorders>
              <w:top w:val="nil"/>
              <w:left w:val="nil"/>
              <w:bottom w:val="nil"/>
              <w:right w:val="nil"/>
            </w:tcBorders>
            <w:shd w:val="clear" w:color="auto" w:fill="auto"/>
            <w:vAlign w:val="center"/>
            <w:hideMark/>
          </w:tcPr>
          <w:p w14:paraId="1490240E"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-0.025</w:t>
            </w:r>
            <w:r w:rsidRPr="00111C4E">
              <w:rPr>
                <w:rFonts w:eastAsia="Times New Roman" w:cs="Times New Roman"/>
                <w:color w:val="000000"/>
                <w:sz w:val="22"/>
              </w:rPr>
              <w:br/>
              <w:t>(0.065)</w:t>
            </w:r>
          </w:p>
        </w:tc>
        <w:tc>
          <w:tcPr>
            <w:tcW w:w="808" w:type="pct"/>
            <w:tcBorders>
              <w:top w:val="nil"/>
              <w:left w:val="nil"/>
              <w:bottom w:val="nil"/>
              <w:right w:val="nil"/>
            </w:tcBorders>
            <w:shd w:val="clear" w:color="auto" w:fill="auto"/>
            <w:vAlign w:val="center"/>
            <w:hideMark/>
          </w:tcPr>
          <w:p w14:paraId="78C3E7AD"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0.153*</w:t>
            </w:r>
            <w:r w:rsidRPr="00111C4E">
              <w:rPr>
                <w:rFonts w:eastAsia="Times New Roman" w:cs="Times New Roman"/>
                <w:color w:val="000000"/>
                <w:sz w:val="22"/>
              </w:rPr>
              <w:br/>
              <w:t>(0.080)</w:t>
            </w:r>
          </w:p>
        </w:tc>
      </w:tr>
      <w:tr w:rsidR="00111C4E" w:rsidRPr="00111C4E" w14:paraId="3B8D1C5A" w14:textId="77777777" w:rsidTr="003A7A74">
        <w:trPr>
          <w:trHeight w:val="300"/>
        </w:trPr>
        <w:tc>
          <w:tcPr>
            <w:tcW w:w="2422" w:type="pct"/>
            <w:tcBorders>
              <w:top w:val="nil"/>
              <w:left w:val="nil"/>
              <w:bottom w:val="nil"/>
              <w:right w:val="nil"/>
            </w:tcBorders>
            <w:shd w:val="clear" w:color="auto" w:fill="auto"/>
            <w:noWrap/>
            <w:vAlign w:val="center"/>
            <w:hideMark/>
          </w:tcPr>
          <w:p w14:paraId="0BFB79A1" w14:textId="77777777" w:rsidR="00111C4E" w:rsidRPr="00111C4E" w:rsidRDefault="00111C4E" w:rsidP="00111C4E">
            <w:pPr>
              <w:jc w:val="left"/>
              <w:rPr>
                <w:rFonts w:eastAsia="Times New Roman" w:cs="Times New Roman"/>
                <w:color w:val="000000"/>
                <w:sz w:val="22"/>
              </w:rPr>
            </w:pPr>
          </w:p>
        </w:tc>
        <w:tc>
          <w:tcPr>
            <w:tcW w:w="877" w:type="pct"/>
            <w:tcBorders>
              <w:top w:val="nil"/>
              <w:left w:val="nil"/>
              <w:bottom w:val="nil"/>
              <w:right w:val="nil"/>
            </w:tcBorders>
            <w:shd w:val="clear" w:color="auto" w:fill="auto"/>
            <w:noWrap/>
            <w:vAlign w:val="center"/>
            <w:hideMark/>
          </w:tcPr>
          <w:p w14:paraId="4975C18C" w14:textId="77777777" w:rsidR="00111C4E" w:rsidRPr="00111C4E" w:rsidRDefault="00111C4E" w:rsidP="00111C4E">
            <w:pPr>
              <w:jc w:val="left"/>
              <w:rPr>
                <w:rFonts w:eastAsia="Times New Roman" w:cs="Times New Roman"/>
                <w:color w:val="000000"/>
                <w:sz w:val="22"/>
              </w:rPr>
            </w:pPr>
          </w:p>
        </w:tc>
        <w:tc>
          <w:tcPr>
            <w:tcW w:w="893" w:type="pct"/>
            <w:tcBorders>
              <w:top w:val="nil"/>
              <w:left w:val="nil"/>
              <w:bottom w:val="nil"/>
              <w:right w:val="nil"/>
            </w:tcBorders>
            <w:shd w:val="clear" w:color="auto" w:fill="auto"/>
            <w:noWrap/>
            <w:vAlign w:val="center"/>
            <w:hideMark/>
          </w:tcPr>
          <w:p w14:paraId="458EEA35" w14:textId="77777777" w:rsidR="00111C4E" w:rsidRPr="00111C4E" w:rsidRDefault="00111C4E" w:rsidP="00111C4E">
            <w:pPr>
              <w:jc w:val="left"/>
              <w:rPr>
                <w:rFonts w:eastAsia="Times New Roman" w:cs="Times New Roman"/>
                <w:color w:val="000000"/>
                <w:sz w:val="22"/>
              </w:rPr>
            </w:pPr>
          </w:p>
        </w:tc>
        <w:tc>
          <w:tcPr>
            <w:tcW w:w="808" w:type="pct"/>
            <w:tcBorders>
              <w:top w:val="nil"/>
              <w:left w:val="nil"/>
              <w:bottom w:val="nil"/>
              <w:right w:val="nil"/>
            </w:tcBorders>
            <w:shd w:val="clear" w:color="auto" w:fill="auto"/>
            <w:noWrap/>
            <w:vAlign w:val="center"/>
            <w:hideMark/>
          </w:tcPr>
          <w:p w14:paraId="16BBBEA2" w14:textId="77777777" w:rsidR="00111C4E" w:rsidRPr="00111C4E" w:rsidRDefault="00111C4E" w:rsidP="00111C4E">
            <w:pPr>
              <w:jc w:val="left"/>
              <w:rPr>
                <w:rFonts w:eastAsia="Times New Roman" w:cs="Times New Roman"/>
                <w:color w:val="000000"/>
                <w:sz w:val="22"/>
              </w:rPr>
            </w:pPr>
          </w:p>
        </w:tc>
      </w:tr>
      <w:tr w:rsidR="00111C4E" w:rsidRPr="00111C4E" w14:paraId="5DA0B1C7" w14:textId="77777777" w:rsidTr="003A7A74">
        <w:trPr>
          <w:trHeight w:val="300"/>
        </w:trPr>
        <w:tc>
          <w:tcPr>
            <w:tcW w:w="2422" w:type="pct"/>
            <w:tcBorders>
              <w:top w:val="nil"/>
              <w:left w:val="nil"/>
              <w:bottom w:val="nil"/>
              <w:right w:val="nil"/>
            </w:tcBorders>
            <w:shd w:val="clear" w:color="auto" w:fill="auto"/>
            <w:noWrap/>
            <w:vAlign w:val="center"/>
            <w:hideMark/>
          </w:tcPr>
          <w:p w14:paraId="2F8577D2" w14:textId="77777777" w:rsidR="00111C4E" w:rsidRPr="00111C4E" w:rsidRDefault="00111C4E" w:rsidP="00111C4E">
            <w:pPr>
              <w:jc w:val="left"/>
              <w:rPr>
                <w:rFonts w:eastAsia="Times New Roman" w:cs="Times New Roman"/>
                <w:b/>
                <w:i/>
                <w:iCs/>
                <w:color w:val="000000"/>
                <w:sz w:val="22"/>
              </w:rPr>
            </w:pPr>
            <w:r w:rsidRPr="00111C4E">
              <w:rPr>
                <w:rFonts w:eastAsia="Times New Roman" w:cs="Times New Roman"/>
                <w:b/>
                <w:i/>
                <w:iCs/>
                <w:color w:val="000000"/>
                <w:sz w:val="22"/>
              </w:rPr>
              <w:t>Member characteristics</w:t>
            </w:r>
          </w:p>
        </w:tc>
        <w:tc>
          <w:tcPr>
            <w:tcW w:w="877" w:type="pct"/>
            <w:tcBorders>
              <w:top w:val="nil"/>
              <w:left w:val="nil"/>
              <w:bottom w:val="nil"/>
              <w:right w:val="nil"/>
            </w:tcBorders>
            <w:shd w:val="clear" w:color="auto" w:fill="auto"/>
            <w:noWrap/>
            <w:vAlign w:val="center"/>
            <w:hideMark/>
          </w:tcPr>
          <w:p w14:paraId="2E5285F0" w14:textId="77777777" w:rsidR="00111C4E" w:rsidRPr="00111C4E" w:rsidRDefault="00111C4E" w:rsidP="00111C4E">
            <w:pPr>
              <w:jc w:val="left"/>
              <w:rPr>
                <w:rFonts w:eastAsia="Times New Roman" w:cs="Times New Roman"/>
                <w:b/>
                <w:color w:val="000000"/>
                <w:sz w:val="22"/>
              </w:rPr>
            </w:pPr>
          </w:p>
        </w:tc>
        <w:tc>
          <w:tcPr>
            <w:tcW w:w="893" w:type="pct"/>
            <w:tcBorders>
              <w:top w:val="nil"/>
              <w:left w:val="nil"/>
              <w:bottom w:val="nil"/>
              <w:right w:val="nil"/>
            </w:tcBorders>
            <w:shd w:val="clear" w:color="auto" w:fill="auto"/>
            <w:noWrap/>
            <w:vAlign w:val="center"/>
            <w:hideMark/>
          </w:tcPr>
          <w:p w14:paraId="2EE90914" w14:textId="77777777" w:rsidR="00111C4E" w:rsidRPr="00111C4E" w:rsidRDefault="00111C4E" w:rsidP="00111C4E">
            <w:pPr>
              <w:jc w:val="left"/>
              <w:rPr>
                <w:rFonts w:eastAsia="Times New Roman" w:cs="Times New Roman"/>
                <w:b/>
                <w:color w:val="000000"/>
                <w:sz w:val="22"/>
              </w:rPr>
            </w:pPr>
          </w:p>
        </w:tc>
        <w:tc>
          <w:tcPr>
            <w:tcW w:w="808" w:type="pct"/>
            <w:tcBorders>
              <w:top w:val="nil"/>
              <w:left w:val="nil"/>
              <w:bottom w:val="nil"/>
              <w:right w:val="nil"/>
            </w:tcBorders>
            <w:shd w:val="clear" w:color="auto" w:fill="auto"/>
            <w:noWrap/>
            <w:vAlign w:val="center"/>
            <w:hideMark/>
          </w:tcPr>
          <w:p w14:paraId="3D0E0348" w14:textId="77777777" w:rsidR="00111C4E" w:rsidRPr="00111C4E" w:rsidRDefault="00111C4E" w:rsidP="00111C4E">
            <w:pPr>
              <w:jc w:val="left"/>
              <w:rPr>
                <w:rFonts w:eastAsia="Times New Roman" w:cs="Times New Roman"/>
                <w:b/>
                <w:color w:val="000000"/>
                <w:sz w:val="22"/>
              </w:rPr>
            </w:pPr>
          </w:p>
        </w:tc>
      </w:tr>
      <w:tr w:rsidR="00111C4E" w:rsidRPr="00111C4E" w14:paraId="0039055F" w14:textId="77777777" w:rsidTr="003A7A74">
        <w:trPr>
          <w:trHeight w:val="600"/>
        </w:trPr>
        <w:tc>
          <w:tcPr>
            <w:tcW w:w="2422" w:type="pct"/>
            <w:tcBorders>
              <w:top w:val="nil"/>
              <w:left w:val="nil"/>
              <w:bottom w:val="nil"/>
              <w:right w:val="nil"/>
            </w:tcBorders>
            <w:shd w:val="clear" w:color="auto" w:fill="auto"/>
            <w:noWrap/>
            <w:vAlign w:val="center"/>
            <w:hideMark/>
          </w:tcPr>
          <w:p w14:paraId="78D10A36"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Majority party</w:t>
            </w:r>
          </w:p>
        </w:tc>
        <w:tc>
          <w:tcPr>
            <w:tcW w:w="877" w:type="pct"/>
            <w:tcBorders>
              <w:top w:val="nil"/>
              <w:left w:val="nil"/>
              <w:bottom w:val="nil"/>
              <w:right w:val="nil"/>
            </w:tcBorders>
            <w:shd w:val="clear" w:color="auto" w:fill="auto"/>
            <w:vAlign w:val="center"/>
            <w:hideMark/>
          </w:tcPr>
          <w:p w14:paraId="0681C18A"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-0.047</w:t>
            </w:r>
            <w:r w:rsidRPr="00111C4E">
              <w:rPr>
                <w:rFonts w:eastAsia="Times New Roman" w:cs="Times New Roman"/>
                <w:color w:val="000000"/>
                <w:sz w:val="22"/>
              </w:rPr>
              <w:br/>
              <w:t>(0.098)</w:t>
            </w:r>
          </w:p>
        </w:tc>
        <w:tc>
          <w:tcPr>
            <w:tcW w:w="893" w:type="pct"/>
            <w:tcBorders>
              <w:top w:val="nil"/>
              <w:left w:val="nil"/>
              <w:bottom w:val="nil"/>
              <w:right w:val="nil"/>
            </w:tcBorders>
            <w:shd w:val="clear" w:color="auto" w:fill="auto"/>
            <w:vAlign w:val="center"/>
            <w:hideMark/>
          </w:tcPr>
          <w:p w14:paraId="3AEA91CA"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-0.159</w:t>
            </w:r>
            <w:r w:rsidRPr="00111C4E">
              <w:rPr>
                <w:rFonts w:eastAsia="Times New Roman" w:cs="Times New Roman"/>
                <w:color w:val="000000"/>
                <w:sz w:val="22"/>
              </w:rPr>
              <w:br/>
              <w:t>(0.129)</w:t>
            </w:r>
          </w:p>
        </w:tc>
        <w:tc>
          <w:tcPr>
            <w:tcW w:w="808" w:type="pct"/>
            <w:tcBorders>
              <w:top w:val="nil"/>
              <w:left w:val="nil"/>
              <w:bottom w:val="nil"/>
              <w:right w:val="nil"/>
            </w:tcBorders>
            <w:shd w:val="clear" w:color="auto" w:fill="auto"/>
            <w:vAlign w:val="center"/>
            <w:hideMark/>
          </w:tcPr>
          <w:p w14:paraId="53E7D73C"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0.001</w:t>
            </w:r>
            <w:r w:rsidRPr="00111C4E">
              <w:rPr>
                <w:rFonts w:eastAsia="Times New Roman" w:cs="Times New Roman"/>
                <w:color w:val="000000"/>
                <w:sz w:val="22"/>
              </w:rPr>
              <w:br/>
              <w:t>(0.162)</w:t>
            </w:r>
          </w:p>
        </w:tc>
      </w:tr>
      <w:tr w:rsidR="00111C4E" w:rsidRPr="00111C4E" w14:paraId="1AC0CB45" w14:textId="77777777" w:rsidTr="003A7A74">
        <w:trPr>
          <w:trHeight w:val="600"/>
        </w:trPr>
        <w:tc>
          <w:tcPr>
            <w:tcW w:w="2422" w:type="pct"/>
            <w:tcBorders>
              <w:top w:val="nil"/>
              <w:left w:val="nil"/>
              <w:bottom w:val="nil"/>
              <w:right w:val="nil"/>
            </w:tcBorders>
            <w:shd w:val="clear" w:color="auto" w:fill="auto"/>
            <w:noWrap/>
            <w:vAlign w:val="center"/>
            <w:hideMark/>
          </w:tcPr>
          <w:p w14:paraId="268FC88F"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DW-NOMINATE (first-dimension)</w:t>
            </w:r>
          </w:p>
        </w:tc>
        <w:tc>
          <w:tcPr>
            <w:tcW w:w="877" w:type="pct"/>
            <w:tcBorders>
              <w:top w:val="nil"/>
              <w:left w:val="nil"/>
              <w:bottom w:val="nil"/>
              <w:right w:val="nil"/>
            </w:tcBorders>
            <w:shd w:val="clear" w:color="auto" w:fill="auto"/>
            <w:vAlign w:val="center"/>
            <w:hideMark/>
          </w:tcPr>
          <w:p w14:paraId="750DCE85"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-0.070</w:t>
            </w:r>
            <w:r w:rsidRPr="00111C4E">
              <w:rPr>
                <w:rFonts w:eastAsia="Times New Roman" w:cs="Times New Roman"/>
                <w:color w:val="000000"/>
                <w:sz w:val="22"/>
              </w:rPr>
              <w:br/>
              <w:t>(0.139)</w:t>
            </w:r>
          </w:p>
        </w:tc>
        <w:tc>
          <w:tcPr>
            <w:tcW w:w="893" w:type="pct"/>
            <w:tcBorders>
              <w:top w:val="nil"/>
              <w:left w:val="nil"/>
              <w:bottom w:val="nil"/>
              <w:right w:val="nil"/>
            </w:tcBorders>
            <w:shd w:val="clear" w:color="auto" w:fill="auto"/>
            <w:vAlign w:val="center"/>
            <w:hideMark/>
          </w:tcPr>
          <w:p w14:paraId="2DB8B1DD"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-0.072</w:t>
            </w:r>
            <w:r w:rsidRPr="00111C4E">
              <w:rPr>
                <w:rFonts w:eastAsia="Times New Roman" w:cs="Times New Roman"/>
                <w:color w:val="000000"/>
                <w:sz w:val="22"/>
              </w:rPr>
              <w:br/>
              <w:t>(0.153)</w:t>
            </w:r>
          </w:p>
        </w:tc>
        <w:tc>
          <w:tcPr>
            <w:tcW w:w="808" w:type="pct"/>
            <w:tcBorders>
              <w:top w:val="nil"/>
              <w:left w:val="nil"/>
              <w:bottom w:val="nil"/>
              <w:right w:val="nil"/>
            </w:tcBorders>
            <w:shd w:val="clear" w:color="auto" w:fill="auto"/>
            <w:vAlign w:val="center"/>
            <w:hideMark/>
          </w:tcPr>
          <w:p w14:paraId="218C3458"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0.065</w:t>
            </w:r>
            <w:r w:rsidRPr="00111C4E">
              <w:rPr>
                <w:rFonts w:eastAsia="Times New Roman" w:cs="Times New Roman"/>
                <w:color w:val="000000"/>
                <w:sz w:val="22"/>
              </w:rPr>
              <w:br/>
              <w:t>(0.295)</w:t>
            </w:r>
          </w:p>
        </w:tc>
      </w:tr>
      <w:tr w:rsidR="00111C4E" w:rsidRPr="00111C4E" w14:paraId="2227A5C6" w14:textId="77777777" w:rsidTr="003A7A74">
        <w:trPr>
          <w:trHeight w:val="600"/>
        </w:trPr>
        <w:tc>
          <w:tcPr>
            <w:tcW w:w="2422" w:type="pct"/>
            <w:tcBorders>
              <w:top w:val="nil"/>
              <w:left w:val="nil"/>
              <w:bottom w:val="nil"/>
              <w:right w:val="nil"/>
            </w:tcBorders>
            <w:shd w:val="clear" w:color="auto" w:fill="auto"/>
            <w:noWrap/>
            <w:vAlign w:val="center"/>
            <w:hideMark/>
          </w:tcPr>
          <w:p w14:paraId="7142CB7D"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Judiciary Committee</w:t>
            </w:r>
          </w:p>
        </w:tc>
        <w:tc>
          <w:tcPr>
            <w:tcW w:w="877" w:type="pct"/>
            <w:tcBorders>
              <w:top w:val="nil"/>
              <w:left w:val="nil"/>
              <w:bottom w:val="nil"/>
              <w:right w:val="nil"/>
            </w:tcBorders>
            <w:shd w:val="clear" w:color="auto" w:fill="auto"/>
            <w:vAlign w:val="center"/>
            <w:hideMark/>
          </w:tcPr>
          <w:p w14:paraId="2A8567CF"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-0.564***</w:t>
            </w:r>
            <w:r w:rsidRPr="00111C4E">
              <w:rPr>
                <w:rFonts w:eastAsia="Times New Roman" w:cs="Times New Roman"/>
                <w:color w:val="000000"/>
                <w:sz w:val="22"/>
              </w:rPr>
              <w:br/>
              <w:t>(0.270)</w:t>
            </w:r>
          </w:p>
        </w:tc>
        <w:tc>
          <w:tcPr>
            <w:tcW w:w="893" w:type="pct"/>
            <w:tcBorders>
              <w:top w:val="nil"/>
              <w:left w:val="nil"/>
              <w:bottom w:val="nil"/>
              <w:right w:val="nil"/>
            </w:tcBorders>
            <w:shd w:val="clear" w:color="auto" w:fill="auto"/>
            <w:vAlign w:val="center"/>
            <w:hideMark/>
          </w:tcPr>
          <w:p w14:paraId="5AEC2B2B"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-0.483</w:t>
            </w:r>
            <w:r w:rsidRPr="00111C4E">
              <w:rPr>
                <w:rFonts w:eastAsia="Times New Roman" w:cs="Times New Roman"/>
                <w:color w:val="000000"/>
                <w:sz w:val="22"/>
              </w:rPr>
              <w:br/>
              <w:t>(0.324)</w:t>
            </w:r>
          </w:p>
        </w:tc>
        <w:tc>
          <w:tcPr>
            <w:tcW w:w="808" w:type="pct"/>
            <w:tcBorders>
              <w:top w:val="nil"/>
              <w:left w:val="nil"/>
              <w:bottom w:val="nil"/>
              <w:right w:val="nil"/>
            </w:tcBorders>
            <w:shd w:val="clear" w:color="auto" w:fill="auto"/>
            <w:vAlign w:val="center"/>
            <w:hideMark/>
          </w:tcPr>
          <w:p w14:paraId="3140E897"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-1.053**</w:t>
            </w:r>
            <w:r w:rsidRPr="00111C4E">
              <w:rPr>
                <w:rFonts w:eastAsia="Times New Roman" w:cs="Times New Roman"/>
                <w:color w:val="000000"/>
                <w:sz w:val="22"/>
              </w:rPr>
              <w:br/>
              <w:t>(0.522)</w:t>
            </w:r>
          </w:p>
        </w:tc>
      </w:tr>
      <w:tr w:rsidR="00111C4E" w:rsidRPr="00111C4E" w14:paraId="0BF6C9A7" w14:textId="77777777" w:rsidTr="003A7A74">
        <w:trPr>
          <w:trHeight w:val="600"/>
        </w:trPr>
        <w:tc>
          <w:tcPr>
            <w:tcW w:w="2422" w:type="pct"/>
            <w:tcBorders>
              <w:top w:val="nil"/>
              <w:left w:val="nil"/>
              <w:bottom w:val="nil"/>
              <w:right w:val="nil"/>
            </w:tcBorders>
            <w:shd w:val="clear" w:color="auto" w:fill="auto"/>
            <w:noWrap/>
            <w:vAlign w:val="center"/>
            <w:hideMark/>
          </w:tcPr>
          <w:p w14:paraId="660F6A41"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Ways &amp; Means Committee</w:t>
            </w:r>
          </w:p>
        </w:tc>
        <w:tc>
          <w:tcPr>
            <w:tcW w:w="877" w:type="pct"/>
            <w:tcBorders>
              <w:top w:val="nil"/>
              <w:left w:val="nil"/>
              <w:bottom w:val="nil"/>
              <w:right w:val="nil"/>
            </w:tcBorders>
            <w:shd w:val="clear" w:color="auto" w:fill="auto"/>
            <w:vAlign w:val="center"/>
            <w:hideMark/>
          </w:tcPr>
          <w:p w14:paraId="786C2AD5"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0.893***</w:t>
            </w:r>
            <w:r w:rsidRPr="00111C4E">
              <w:rPr>
                <w:rFonts w:eastAsia="Times New Roman" w:cs="Times New Roman"/>
                <w:color w:val="000000"/>
                <w:sz w:val="22"/>
              </w:rPr>
              <w:br/>
              <w:t>(0.179)</w:t>
            </w:r>
          </w:p>
        </w:tc>
        <w:tc>
          <w:tcPr>
            <w:tcW w:w="893" w:type="pct"/>
            <w:tcBorders>
              <w:top w:val="nil"/>
              <w:left w:val="nil"/>
              <w:bottom w:val="nil"/>
              <w:right w:val="nil"/>
            </w:tcBorders>
            <w:shd w:val="clear" w:color="auto" w:fill="auto"/>
            <w:vAlign w:val="center"/>
            <w:hideMark/>
          </w:tcPr>
          <w:p w14:paraId="68B42ACF"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1.282***</w:t>
            </w:r>
            <w:r w:rsidRPr="00111C4E">
              <w:rPr>
                <w:rFonts w:eastAsia="Times New Roman" w:cs="Times New Roman"/>
                <w:color w:val="000000"/>
                <w:sz w:val="22"/>
              </w:rPr>
              <w:br/>
              <w:t>(0.197)</w:t>
            </w:r>
          </w:p>
        </w:tc>
        <w:tc>
          <w:tcPr>
            <w:tcW w:w="808" w:type="pct"/>
            <w:tcBorders>
              <w:top w:val="nil"/>
              <w:left w:val="nil"/>
              <w:bottom w:val="nil"/>
              <w:right w:val="nil"/>
            </w:tcBorders>
            <w:shd w:val="clear" w:color="auto" w:fill="auto"/>
            <w:vAlign w:val="center"/>
            <w:hideMark/>
          </w:tcPr>
          <w:p w14:paraId="62DB23BC"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0.055</w:t>
            </w:r>
            <w:r w:rsidRPr="00111C4E">
              <w:rPr>
                <w:rFonts w:eastAsia="Times New Roman" w:cs="Times New Roman"/>
                <w:color w:val="000000"/>
                <w:sz w:val="22"/>
              </w:rPr>
              <w:br/>
              <w:t>(0.348)</w:t>
            </w:r>
          </w:p>
        </w:tc>
      </w:tr>
      <w:tr w:rsidR="00111C4E" w:rsidRPr="00111C4E" w14:paraId="4F2E67C8" w14:textId="77777777" w:rsidTr="003A7A74">
        <w:trPr>
          <w:trHeight w:val="600"/>
        </w:trPr>
        <w:tc>
          <w:tcPr>
            <w:tcW w:w="2422" w:type="pct"/>
            <w:tcBorders>
              <w:top w:val="nil"/>
              <w:left w:val="nil"/>
              <w:bottom w:val="nil"/>
              <w:right w:val="nil"/>
            </w:tcBorders>
            <w:shd w:val="clear" w:color="auto" w:fill="auto"/>
            <w:noWrap/>
            <w:vAlign w:val="center"/>
            <w:hideMark/>
          </w:tcPr>
          <w:p w14:paraId="15A2C3CB"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Energy &amp; Commerce Committee</w:t>
            </w:r>
          </w:p>
        </w:tc>
        <w:tc>
          <w:tcPr>
            <w:tcW w:w="877" w:type="pct"/>
            <w:tcBorders>
              <w:top w:val="nil"/>
              <w:left w:val="nil"/>
              <w:bottom w:val="nil"/>
              <w:right w:val="nil"/>
            </w:tcBorders>
            <w:shd w:val="clear" w:color="auto" w:fill="auto"/>
            <w:vAlign w:val="center"/>
            <w:hideMark/>
          </w:tcPr>
          <w:p w14:paraId="203DF819"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0.510***</w:t>
            </w:r>
            <w:r w:rsidRPr="00111C4E">
              <w:rPr>
                <w:rFonts w:eastAsia="Times New Roman" w:cs="Times New Roman"/>
                <w:color w:val="000000"/>
                <w:sz w:val="22"/>
              </w:rPr>
              <w:br/>
              <w:t>(0.181)</w:t>
            </w:r>
          </w:p>
        </w:tc>
        <w:tc>
          <w:tcPr>
            <w:tcW w:w="893" w:type="pct"/>
            <w:tcBorders>
              <w:top w:val="nil"/>
              <w:left w:val="nil"/>
              <w:bottom w:val="nil"/>
              <w:right w:val="nil"/>
            </w:tcBorders>
            <w:shd w:val="clear" w:color="auto" w:fill="auto"/>
            <w:vAlign w:val="center"/>
            <w:hideMark/>
          </w:tcPr>
          <w:p w14:paraId="04639726"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0.668***</w:t>
            </w:r>
            <w:r w:rsidRPr="00111C4E">
              <w:rPr>
                <w:rFonts w:eastAsia="Times New Roman" w:cs="Times New Roman"/>
                <w:color w:val="000000"/>
                <w:sz w:val="22"/>
              </w:rPr>
              <w:br/>
              <w:t>(0.214)</w:t>
            </w:r>
          </w:p>
        </w:tc>
        <w:tc>
          <w:tcPr>
            <w:tcW w:w="808" w:type="pct"/>
            <w:tcBorders>
              <w:top w:val="nil"/>
              <w:left w:val="nil"/>
              <w:bottom w:val="nil"/>
              <w:right w:val="nil"/>
            </w:tcBorders>
            <w:shd w:val="clear" w:color="auto" w:fill="auto"/>
            <w:vAlign w:val="center"/>
            <w:hideMark/>
          </w:tcPr>
          <w:p w14:paraId="7BAA4BE4"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0.077</w:t>
            </w:r>
            <w:r w:rsidRPr="00111C4E">
              <w:rPr>
                <w:rFonts w:eastAsia="Times New Roman" w:cs="Times New Roman"/>
                <w:color w:val="000000"/>
                <w:sz w:val="22"/>
              </w:rPr>
              <w:br/>
              <w:t>(0.318)</w:t>
            </w:r>
          </w:p>
        </w:tc>
      </w:tr>
      <w:tr w:rsidR="00111C4E" w:rsidRPr="00111C4E" w14:paraId="6546FEBC" w14:textId="77777777" w:rsidTr="003A7A74">
        <w:trPr>
          <w:trHeight w:val="300"/>
        </w:trPr>
        <w:tc>
          <w:tcPr>
            <w:tcW w:w="2422" w:type="pct"/>
            <w:tcBorders>
              <w:top w:val="nil"/>
              <w:left w:val="nil"/>
              <w:bottom w:val="nil"/>
              <w:right w:val="nil"/>
            </w:tcBorders>
            <w:shd w:val="clear" w:color="auto" w:fill="auto"/>
            <w:noWrap/>
            <w:vAlign w:val="center"/>
            <w:hideMark/>
          </w:tcPr>
          <w:p w14:paraId="42504A88" w14:textId="77777777" w:rsidR="00111C4E" w:rsidRPr="00111C4E" w:rsidRDefault="00111C4E" w:rsidP="00111C4E">
            <w:pPr>
              <w:jc w:val="left"/>
              <w:rPr>
                <w:rFonts w:eastAsia="Times New Roman" w:cs="Times New Roman"/>
                <w:color w:val="000000"/>
                <w:sz w:val="22"/>
              </w:rPr>
            </w:pPr>
          </w:p>
        </w:tc>
        <w:tc>
          <w:tcPr>
            <w:tcW w:w="877" w:type="pct"/>
            <w:tcBorders>
              <w:top w:val="nil"/>
              <w:left w:val="nil"/>
              <w:bottom w:val="nil"/>
              <w:right w:val="nil"/>
            </w:tcBorders>
            <w:shd w:val="clear" w:color="auto" w:fill="auto"/>
            <w:noWrap/>
            <w:vAlign w:val="center"/>
            <w:hideMark/>
          </w:tcPr>
          <w:p w14:paraId="1D482C4F" w14:textId="77777777" w:rsidR="00111C4E" w:rsidRPr="00111C4E" w:rsidRDefault="00111C4E" w:rsidP="00111C4E">
            <w:pPr>
              <w:jc w:val="left"/>
              <w:rPr>
                <w:rFonts w:eastAsia="Times New Roman" w:cs="Times New Roman"/>
                <w:color w:val="000000"/>
                <w:sz w:val="22"/>
              </w:rPr>
            </w:pPr>
          </w:p>
        </w:tc>
        <w:tc>
          <w:tcPr>
            <w:tcW w:w="893" w:type="pct"/>
            <w:tcBorders>
              <w:top w:val="nil"/>
              <w:left w:val="nil"/>
              <w:bottom w:val="nil"/>
              <w:right w:val="nil"/>
            </w:tcBorders>
            <w:shd w:val="clear" w:color="auto" w:fill="auto"/>
            <w:noWrap/>
            <w:vAlign w:val="center"/>
            <w:hideMark/>
          </w:tcPr>
          <w:p w14:paraId="74D89190" w14:textId="77777777" w:rsidR="00111C4E" w:rsidRPr="00111C4E" w:rsidRDefault="00111C4E" w:rsidP="00111C4E">
            <w:pPr>
              <w:jc w:val="left"/>
              <w:rPr>
                <w:rFonts w:eastAsia="Times New Roman" w:cs="Times New Roman"/>
                <w:color w:val="000000"/>
                <w:sz w:val="22"/>
              </w:rPr>
            </w:pPr>
          </w:p>
        </w:tc>
        <w:tc>
          <w:tcPr>
            <w:tcW w:w="808" w:type="pct"/>
            <w:tcBorders>
              <w:top w:val="nil"/>
              <w:left w:val="nil"/>
              <w:bottom w:val="nil"/>
              <w:right w:val="nil"/>
            </w:tcBorders>
            <w:shd w:val="clear" w:color="auto" w:fill="auto"/>
            <w:noWrap/>
            <w:vAlign w:val="center"/>
            <w:hideMark/>
          </w:tcPr>
          <w:p w14:paraId="33552A5D" w14:textId="77777777" w:rsidR="00111C4E" w:rsidRPr="00111C4E" w:rsidRDefault="00111C4E" w:rsidP="00111C4E">
            <w:pPr>
              <w:jc w:val="left"/>
              <w:rPr>
                <w:rFonts w:eastAsia="Times New Roman" w:cs="Times New Roman"/>
                <w:color w:val="000000"/>
                <w:sz w:val="22"/>
              </w:rPr>
            </w:pPr>
          </w:p>
        </w:tc>
      </w:tr>
      <w:tr w:rsidR="00111C4E" w:rsidRPr="00111C4E" w14:paraId="1CFCC51E" w14:textId="77777777" w:rsidTr="003A7A74">
        <w:trPr>
          <w:trHeight w:val="600"/>
        </w:trPr>
        <w:tc>
          <w:tcPr>
            <w:tcW w:w="2422" w:type="pct"/>
            <w:tcBorders>
              <w:top w:val="nil"/>
              <w:left w:val="nil"/>
              <w:bottom w:val="nil"/>
              <w:right w:val="nil"/>
            </w:tcBorders>
            <w:shd w:val="clear" w:color="auto" w:fill="auto"/>
            <w:noWrap/>
            <w:vAlign w:val="center"/>
            <w:hideMark/>
          </w:tcPr>
          <w:p w14:paraId="6FA7610A"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110th Congress</w:t>
            </w:r>
          </w:p>
        </w:tc>
        <w:tc>
          <w:tcPr>
            <w:tcW w:w="877" w:type="pct"/>
            <w:tcBorders>
              <w:top w:val="nil"/>
              <w:left w:val="nil"/>
              <w:bottom w:val="nil"/>
              <w:right w:val="nil"/>
            </w:tcBorders>
            <w:shd w:val="clear" w:color="auto" w:fill="auto"/>
            <w:vAlign w:val="center"/>
            <w:hideMark/>
          </w:tcPr>
          <w:p w14:paraId="0342A84F"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-0.624***</w:t>
            </w:r>
            <w:r w:rsidRPr="00111C4E">
              <w:rPr>
                <w:rFonts w:eastAsia="Times New Roman" w:cs="Times New Roman"/>
                <w:color w:val="000000"/>
                <w:sz w:val="22"/>
              </w:rPr>
              <w:br/>
              <w:t>(0.204)</w:t>
            </w:r>
          </w:p>
        </w:tc>
        <w:tc>
          <w:tcPr>
            <w:tcW w:w="893" w:type="pct"/>
            <w:tcBorders>
              <w:top w:val="nil"/>
              <w:left w:val="nil"/>
              <w:bottom w:val="nil"/>
              <w:right w:val="nil"/>
            </w:tcBorders>
            <w:shd w:val="clear" w:color="auto" w:fill="auto"/>
            <w:vAlign w:val="center"/>
            <w:hideMark/>
          </w:tcPr>
          <w:p w14:paraId="2F3F92ED"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-0.290</w:t>
            </w:r>
            <w:r w:rsidRPr="00111C4E">
              <w:rPr>
                <w:rFonts w:eastAsia="Times New Roman" w:cs="Times New Roman"/>
                <w:color w:val="000000"/>
                <w:sz w:val="22"/>
              </w:rPr>
              <w:br/>
              <w:t>(0.224)</w:t>
            </w:r>
          </w:p>
        </w:tc>
        <w:tc>
          <w:tcPr>
            <w:tcW w:w="808" w:type="pct"/>
            <w:tcBorders>
              <w:top w:val="nil"/>
              <w:left w:val="nil"/>
              <w:bottom w:val="nil"/>
              <w:right w:val="nil"/>
            </w:tcBorders>
            <w:shd w:val="clear" w:color="auto" w:fill="auto"/>
            <w:vAlign w:val="center"/>
            <w:hideMark/>
          </w:tcPr>
          <w:p w14:paraId="34F458BB"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-0.674**</w:t>
            </w:r>
            <w:r w:rsidRPr="00111C4E">
              <w:rPr>
                <w:rFonts w:eastAsia="Times New Roman" w:cs="Times New Roman"/>
                <w:color w:val="000000"/>
                <w:sz w:val="22"/>
              </w:rPr>
              <w:br/>
              <w:t>(0.326)</w:t>
            </w:r>
          </w:p>
        </w:tc>
      </w:tr>
      <w:tr w:rsidR="00111C4E" w:rsidRPr="00111C4E" w14:paraId="65020B9B" w14:textId="77777777" w:rsidTr="003A7A74">
        <w:trPr>
          <w:trHeight w:val="300"/>
        </w:trPr>
        <w:tc>
          <w:tcPr>
            <w:tcW w:w="2422" w:type="pct"/>
            <w:tcBorders>
              <w:top w:val="nil"/>
              <w:left w:val="nil"/>
              <w:bottom w:val="nil"/>
              <w:right w:val="nil"/>
            </w:tcBorders>
            <w:shd w:val="clear" w:color="auto" w:fill="auto"/>
            <w:noWrap/>
            <w:vAlign w:val="center"/>
            <w:hideMark/>
          </w:tcPr>
          <w:p w14:paraId="2822D8CE" w14:textId="77777777" w:rsidR="00111C4E" w:rsidRPr="00111C4E" w:rsidRDefault="00111C4E" w:rsidP="00111C4E">
            <w:pPr>
              <w:jc w:val="left"/>
              <w:rPr>
                <w:rFonts w:eastAsia="Times New Roman" w:cs="Times New Roman"/>
                <w:color w:val="000000"/>
                <w:sz w:val="22"/>
              </w:rPr>
            </w:pPr>
          </w:p>
        </w:tc>
        <w:tc>
          <w:tcPr>
            <w:tcW w:w="877" w:type="pct"/>
            <w:tcBorders>
              <w:top w:val="nil"/>
              <w:left w:val="nil"/>
              <w:bottom w:val="nil"/>
              <w:right w:val="nil"/>
            </w:tcBorders>
            <w:shd w:val="clear" w:color="auto" w:fill="auto"/>
            <w:noWrap/>
            <w:vAlign w:val="center"/>
            <w:hideMark/>
          </w:tcPr>
          <w:p w14:paraId="5BE4268F" w14:textId="77777777" w:rsidR="00111C4E" w:rsidRPr="00111C4E" w:rsidRDefault="00111C4E" w:rsidP="00111C4E">
            <w:pPr>
              <w:jc w:val="left"/>
              <w:rPr>
                <w:rFonts w:eastAsia="Times New Roman" w:cs="Times New Roman"/>
                <w:color w:val="000000"/>
                <w:sz w:val="22"/>
              </w:rPr>
            </w:pPr>
          </w:p>
        </w:tc>
        <w:tc>
          <w:tcPr>
            <w:tcW w:w="893" w:type="pct"/>
            <w:tcBorders>
              <w:top w:val="nil"/>
              <w:left w:val="nil"/>
              <w:bottom w:val="nil"/>
              <w:right w:val="nil"/>
            </w:tcBorders>
            <w:shd w:val="clear" w:color="auto" w:fill="auto"/>
            <w:noWrap/>
            <w:vAlign w:val="center"/>
            <w:hideMark/>
          </w:tcPr>
          <w:p w14:paraId="5AA81FFA" w14:textId="77777777" w:rsidR="00111C4E" w:rsidRPr="00111C4E" w:rsidRDefault="00111C4E" w:rsidP="00111C4E">
            <w:pPr>
              <w:jc w:val="left"/>
              <w:rPr>
                <w:rFonts w:eastAsia="Times New Roman" w:cs="Times New Roman"/>
                <w:color w:val="000000"/>
                <w:sz w:val="22"/>
              </w:rPr>
            </w:pPr>
          </w:p>
        </w:tc>
        <w:tc>
          <w:tcPr>
            <w:tcW w:w="808" w:type="pct"/>
            <w:tcBorders>
              <w:top w:val="nil"/>
              <w:left w:val="nil"/>
              <w:bottom w:val="nil"/>
              <w:right w:val="nil"/>
            </w:tcBorders>
            <w:shd w:val="clear" w:color="auto" w:fill="auto"/>
            <w:noWrap/>
            <w:vAlign w:val="center"/>
            <w:hideMark/>
          </w:tcPr>
          <w:p w14:paraId="7EDFA676" w14:textId="77777777" w:rsidR="00111C4E" w:rsidRPr="00111C4E" w:rsidRDefault="00111C4E" w:rsidP="00111C4E">
            <w:pPr>
              <w:jc w:val="left"/>
              <w:rPr>
                <w:rFonts w:eastAsia="Times New Roman" w:cs="Times New Roman"/>
                <w:color w:val="000000"/>
                <w:sz w:val="22"/>
              </w:rPr>
            </w:pPr>
          </w:p>
        </w:tc>
      </w:tr>
      <w:tr w:rsidR="00111C4E" w:rsidRPr="00111C4E" w14:paraId="4E6801E3" w14:textId="77777777" w:rsidTr="003A7A74">
        <w:trPr>
          <w:trHeight w:val="600"/>
        </w:trPr>
        <w:tc>
          <w:tcPr>
            <w:tcW w:w="2422" w:type="pct"/>
            <w:tcBorders>
              <w:top w:val="nil"/>
              <w:left w:val="nil"/>
              <w:bottom w:val="nil"/>
              <w:right w:val="nil"/>
            </w:tcBorders>
            <w:shd w:val="clear" w:color="auto" w:fill="auto"/>
            <w:noWrap/>
            <w:vAlign w:val="center"/>
            <w:hideMark/>
          </w:tcPr>
          <w:p w14:paraId="1A841433"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constant</w:t>
            </w:r>
          </w:p>
        </w:tc>
        <w:tc>
          <w:tcPr>
            <w:tcW w:w="877" w:type="pct"/>
            <w:tcBorders>
              <w:top w:val="nil"/>
              <w:left w:val="nil"/>
              <w:bottom w:val="nil"/>
              <w:right w:val="nil"/>
            </w:tcBorders>
            <w:shd w:val="clear" w:color="auto" w:fill="auto"/>
            <w:vAlign w:val="center"/>
            <w:hideMark/>
          </w:tcPr>
          <w:p w14:paraId="5807A8AA"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-4.792</w:t>
            </w:r>
            <w:r w:rsidRPr="00111C4E">
              <w:rPr>
                <w:rFonts w:eastAsia="Times New Roman" w:cs="Times New Roman"/>
                <w:color w:val="000000"/>
                <w:sz w:val="22"/>
              </w:rPr>
              <w:br/>
              <w:t>(4.597)</w:t>
            </w:r>
          </w:p>
        </w:tc>
        <w:tc>
          <w:tcPr>
            <w:tcW w:w="893" w:type="pct"/>
            <w:tcBorders>
              <w:top w:val="nil"/>
              <w:left w:val="nil"/>
              <w:bottom w:val="nil"/>
              <w:right w:val="nil"/>
            </w:tcBorders>
            <w:shd w:val="clear" w:color="auto" w:fill="auto"/>
            <w:vAlign w:val="center"/>
            <w:hideMark/>
          </w:tcPr>
          <w:p w14:paraId="38DE6E2E"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-2.203</w:t>
            </w:r>
            <w:r w:rsidRPr="00111C4E">
              <w:rPr>
                <w:rFonts w:eastAsia="Times New Roman" w:cs="Times New Roman"/>
                <w:color w:val="000000"/>
                <w:sz w:val="22"/>
              </w:rPr>
              <w:br/>
              <w:t>(5.020)</w:t>
            </w:r>
          </w:p>
        </w:tc>
        <w:tc>
          <w:tcPr>
            <w:tcW w:w="808" w:type="pct"/>
            <w:tcBorders>
              <w:top w:val="nil"/>
              <w:left w:val="nil"/>
              <w:bottom w:val="nil"/>
              <w:right w:val="nil"/>
            </w:tcBorders>
            <w:shd w:val="clear" w:color="auto" w:fill="auto"/>
            <w:vAlign w:val="center"/>
            <w:hideMark/>
          </w:tcPr>
          <w:p w14:paraId="4835AE2E"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-16.568***</w:t>
            </w:r>
            <w:r w:rsidRPr="00111C4E">
              <w:rPr>
                <w:rFonts w:eastAsia="Times New Roman" w:cs="Times New Roman"/>
                <w:color w:val="000000"/>
                <w:sz w:val="22"/>
              </w:rPr>
              <w:br/>
              <w:t>(8.189)</w:t>
            </w:r>
          </w:p>
        </w:tc>
      </w:tr>
      <w:tr w:rsidR="00111C4E" w:rsidRPr="00111C4E" w14:paraId="27216CE3" w14:textId="77777777" w:rsidTr="003A7A74">
        <w:trPr>
          <w:trHeight w:val="300"/>
        </w:trPr>
        <w:tc>
          <w:tcPr>
            <w:tcW w:w="2422" w:type="pct"/>
            <w:tcBorders>
              <w:top w:val="nil"/>
              <w:left w:val="nil"/>
              <w:bottom w:val="nil"/>
              <w:right w:val="nil"/>
            </w:tcBorders>
            <w:shd w:val="clear" w:color="auto" w:fill="auto"/>
            <w:noWrap/>
            <w:vAlign w:val="center"/>
            <w:hideMark/>
          </w:tcPr>
          <w:p w14:paraId="071D3FE1" w14:textId="77777777" w:rsidR="00111C4E" w:rsidRPr="00111C4E" w:rsidRDefault="00111C4E" w:rsidP="00111C4E">
            <w:pPr>
              <w:jc w:val="left"/>
              <w:rPr>
                <w:rFonts w:eastAsia="Times New Roman" w:cs="Times New Roman"/>
                <w:color w:val="000000"/>
                <w:sz w:val="22"/>
              </w:rPr>
            </w:pPr>
          </w:p>
        </w:tc>
        <w:tc>
          <w:tcPr>
            <w:tcW w:w="877" w:type="pct"/>
            <w:tcBorders>
              <w:top w:val="nil"/>
              <w:left w:val="nil"/>
              <w:bottom w:val="nil"/>
              <w:right w:val="nil"/>
            </w:tcBorders>
            <w:shd w:val="clear" w:color="auto" w:fill="auto"/>
            <w:noWrap/>
            <w:vAlign w:val="center"/>
            <w:hideMark/>
          </w:tcPr>
          <w:p w14:paraId="0828491F" w14:textId="77777777" w:rsidR="00111C4E" w:rsidRPr="00111C4E" w:rsidRDefault="00111C4E" w:rsidP="00111C4E">
            <w:pPr>
              <w:jc w:val="left"/>
              <w:rPr>
                <w:rFonts w:eastAsia="Times New Roman" w:cs="Times New Roman"/>
                <w:color w:val="000000"/>
                <w:sz w:val="22"/>
              </w:rPr>
            </w:pPr>
          </w:p>
        </w:tc>
        <w:tc>
          <w:tcPr>
            <w:tcW w:w="893" w:type="pct"/>
            <w:tcBorders>
              <w:top w:val="nil"/>
              <w:left w:val="nil"/>
              <w:bottom w:val="nil"/>
              <w:right w:val="nil"/>
            </w:tcBorders>
            <w:shd w:val="clear" w:color="auto" w:fill="auto"/>
            <w:noWrap/>
            <w:vAlign w:val="center"/>
            <w:hideMark/>
          </w:tcPr>
          <w:p w14:paraId="0C89EE73" w14:textId="77777777" w:rsidR="00111C4E" w:rsidRPr="00111C4E" w:rsidRDefault="00111C4E" w:rsidP="00111C4E">
            <w:pPr>
              <w:jc w:val="left"/>
              <w:rPr>
                <w:rFonts w:eastAsia="Times New Roman" w:cs="Times New Roman"/>
                <w:color w:val="000000"/>
                <w:sz w:val="22"/>
              </w:rPr>
            </w:pPr>
          </w:p>
        </w:tc>
        <w:tc>
          <w:tcPr>
            <w:tcW w:w="808" w:type="pct"/>
            <w:tcBorders>
              <w:top w:val="nil"/>
              <w:left w:val="nil"/>
              <w:bottom w:val="nil"/>
              <w:right w:val="nil"/>
            </w:tcBorders>
            <w:shd w:val="clear" w:color="auto" w:fill="auto"/>
            <w:noWrap/>
            <w:vAlign w:val="center"/>
            <w:hideMark/>
          </w:tcPr>
          <w:p w14:paraId="228D707F" w14:textId="77777777" w:rsidR="00111C4E" w:rsidRPr="00111C4E" w:rsidRDefault="00111C4E" w:rsidP="00111C4E">
            <w:pPr>
              <w:jc w:val="left"/>
              <w:rPr>
                <w:rFonts w:eastAsia="Times New Roman" w:cs="Times New Roman"/>
                <w:color w:val="000000"/>
                <w:sz w:val="22"/>
              </w:rPr>
            </w:pPr>
          </w:p>
        </w:tc>
      </w:tr>
      <w:tr w:rsidR="00111C4E" w:rsidRPr="00111C4E" w14:paraId="72D452C2" w14:textId="77777777" w:rsidTr="003A7A74">
        <w:trPr>
          <w:trHeight w:val="300"/>
        </w:trPr>
        <w:tc>
          <w:tcPr>
            <w:tcW w:w="2422" w:type="pct"/>
            <w:tcBorders>
              <w:top w:val="nil"/>
              <w:left w:val="nil"/>
              <w:bottom w:val="nil"/>
              <w:right w:val="nil"/>
            </w:tcBorders>
            <w:shd w:val="clear" w:color="auto" w:fill="auto"/>
            <w:noWrap/>
            <w:vAlign w:val="center"/>
            <w:hideMark/>
          </w:tcPr>
          <w:p w14:paraId="485B1582"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N</w:t>
            </w:r>
          </w:p>
        </w:tc>
        <w:tc>
          <w:tcPr>
            <w:tcW w:w="877" w:type="pct"/>
            <w:tcBorders>
              <w:top w:val="nil"/>
              <w:left w:val="nil"/>
              <w:bottom w:val="nil"/>
              <w:right w:val="nil"/>
            </w:tcBorders>
            <w:shd w:val="clear" w:color="auto" w:fill="auto"/>
            <w:noWrap/>
            <w:vAlign w:val="center"/>
            <w:hideMark/>
          </w:tcPr>
          <w:p w14:paraId="6954FC48"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13,600</w:t>
            </w:r>
          </w:p>
        </w:tc>
        <w:tc>
          <w:tcPr>
            <w:tcW w:w="893" w:type="pct"/>
            <w:tcBorders>
              <w:top w:val="nil"/>
              <w:left w:val="nil"/>
              <w:bottom w:val="nil"/>
              <w:right w:val="nil"/>
            </w:tcBorders>
            <w:shd w:val="clear" w:color="auto" w:fill="auto"/>
            <w:noWrap/>
            <w:vAlign w:val="center"/>
            <w:hideMark/>
          </w:tcPr>
          <w:p w14:paraId="7C5F511C"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7,025</w:t>
            </w:r>
          </w:p>
        </w:tc>
        <w:tc>
          <w:tcPr>
            <w:tcW w:w="808" w:type="pct"/>
            <w:tcBorders>
              <w:top w:val="nil"/>
              <w:left w:val="nil"/>
              <w:bottom w:val="nil"/>
              <w:right w:val="nil"/>
            </w:tcBorders>
            <w:shd w:val="clear" w:color="auto" w:fill="auto"/>
            <w:noWrap/>
            <w:vAlign w:val="center"/>
            <w:hideMark/>
          </w:tcPr>
          <w:p w14:paraId="6FB7A225"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6,575</w:t>
            </w:r>
          </w:p>
        </w:tc>
      </w:tr>
      <w:tr w:rsidR="00111C4E" w:rsidRPr="00111C4E" w14:paraId="670C85E8" w14:textId="77777777" w:rsidTr="003A7A74">
        <w:trPr>
          <w:trHeight w:val="300"/>
        </w:trPr>
        <w:tc>
          <w:tcPr>
            <w:tcW w:w="2422" w:type="pct"/>
            <w:tcBorders>
              <w:top w:val="nil"/>
              <w:left w:val="nil"/>
              <w:bottom w:val="nil"/>
              <w:right w:val="nil"/>
            </w:tcBorders>
            <w:shd w:val="clear" w:color="auto" w:fill="auto"/>
            <w:noWrap/>
            <w:vAlign w:val="center"/>
            <w:hideMark/>
          </w:tcPr>
          <w:p w14:paraId="5677DD47" w14:textId="77777777" w:rsidR="00111C4E" w:rsidRPr="00111C4E" w:rsidRDefault="00111C4E" w:rsidP="00111C4E">
            <w:pPr>
              <w:jc w:val="left"/>
              <w:rPr>
                <w:rFonts w:eastAsia="Times New Roman" w:cs="Times New Roman"/>
                <w:color w:val="000000"/>
                <w:sz w:val="22"/>
              </w:rPr>
            </w:pPr>
            <w:proofErr w:type="spellStart"/>
            <w:r w:rsidRPr="00111C4E">
              <w:rPr>
                <w:rFonts w:eastAsia="Times New Roman" w:cs="Times New Roman"/>
                <w:color w:val="000000"/>
                <w:sz w:val="22"/>
              </w:rPr>
              <w:t>ePCP</w:t>
            </w:r>
            <w:proofErr w:type="spellEnd"/>
          </w:p>
        </w:tc>
        <w:tc>
          <w:tcPr>
            <w:tcW w:w="877" w:type="pct"/>
            <w:tcBorders>
              <w:top w:val="nil"/>
              <w:left w:val="nil"/>
              <w:bottom w:val="nil"/>
              <w:right w:val="nil"/>
            </w:tcBorders>
            <w:shd w:val="clear" w:color="auto" w:fill="auto"/>
            <w:noWrap/>
            <w:vAlign w:val="center"/>
            <w:hideMark/>
          </w:tcPr>
          <w:p w14:paraId="4F70CFEC"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0.935</w:t>
            </w:r>
          </w:p>
        </w:tc>
        <w:tc>
          <w:tcPr>
            <w:tcW w:w="893" w:type="pct"/>
            <w:tcBorders>
              <w:top w:val="nil"/>
              <w:left w:val="nil"/>
              <w:bottom w:val="nil"/>
              <w:right w:val="nil"/>
            </w:tcBorders>
            <w:shd w:val="clear" w:color="auto" w:fill="auto"/>
            <w:noWrap/>
            <w:vAlign w:val="center"/>
            <w:hideMark/>
          </w:tcPr>
          <w:p w14:paraId="35E5767D"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0.912</w:t>
            </w:r>
          </w:p>
        </w:tc>
        <w:tc>
          <w:tcPr>
            <w:tcW w:w="808" w:type="pct"/>
            <w:tcBorders>
              <w:top w:val="nil"/>
              <w:left w:val="nil"/>
              <w:bottom w:val="nil"/>
              <w:right w:val="nil"/>
            </w:tcBorders>
            <w:shd w:val="clear" w:color="auto" w:fill="auto"/>
            <w:noWrap/>
            <w:vAlign w:val="center"/>
            <w:hideMark/>
          </w:tcPr>
          <w:p w14:paraId="3EFF6683"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0.961</w:t>
            </w:r>
          </w:p>
        </w:tc>
      </w:tr>
      <w:tr w:rsidR="00111C4E" w:rsidRPr="00111C4E" w14:paraId="04E48F30" w14:textId="77777777" w:rsidTr="003A7A74">
        <w:trPr>
          <w:trHeight w:val="315"/>
        </w:trPr>
        <w:tc>
          <w:tcPr>
            <w:tcW w:w="2422" w:type="pct"/>
            <w:tcBorders>
              <w:top w:val="nil"/>
              <w:left w:val="nil"/>
              <w:bottom w:val="double" w:sz="6" w:space="0" w:color="auto"/>
              <w:right w:val="nil"/>
            </w:tcBorders>
            <w:shd w:val="clear" w:color="auto" w:fill="auto"/>
            <w:noWrap/>
            <w:vAlign w:val="center"/>
            <w:hideMark/>
          </w:tcPr>
          <w:p w14:paraId="6679F8B6"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 </w:t>
            </w:r>
          </w:p>
        </w:tc>
        <w:tc>
          <w:tcPr>
            <w:tcW w:w="877" w:type="pct"/>
            <w:tcBorders>
              <w:top w:val="nil"/>
              <w:left w:val="nil"/>
              <w:bottom w:val="double" w:sz="6" w:space="0" w:color="auto"/>
              <w:right w:val="nil"/>
            </w:tcBorders>
            <w:shd w:val="clear" w:color="auto" w:fill="auto"/>
            <w:noWrap/>
            <w:vAlign w:val="center"/>
            <w:hideMark/>
          </w:tcPr>
          <w:p w14:paraId="70473961"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 </w:t>
            </w:r>
          </w:p>
        </w:tc>
        <w:tc>
          <w:tcPr>
            <w:tcW w:w="893" w:type="pct"/>
            <w:tcBorders>
              <w:top w:val="nil"/>
              <w:left w:val="nil"/>
              <w:bottom w:val="double" w:sz="6" w:space="0" w:color="auto"/>
              <w:right w:val="nil"/>
            </w:tcBorders>
            <w:shd w:val="clear" w:color="auto" w:fill="auto"/>
            <w:noWrap/>
            <w:vAlign w:val="center"/>
            <w:hideMark/>
          </w:tcPr>
          <w:p w14:paraId="77712137"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 </w:t>
            </w:r>
          </w:p>
        </w:tc>
        <w:tc>
          <w:tcPr>
            <w:tcW w:w="808" w:type="pct"/>
            <w:tcBorders>
              <w:top w:val="nil"/>
              <w:left w:val="nil"/>
              <w:bottom w:val="double" w:sz="6" w:space="0" w:color="auto"/>
              <w:right w:val="nil"/>
            </w:tcBorders>
            <w:shd w:val="clear" w:color="auto" w:fill="auto"/>
            <w:noWrap/>
            <w:vAlign w:val="center"/>
            <w:hideMark/>
          </w:tcPr>
          <w:p w14:paraId="4A14393C"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color w:val="000000"/>
                <w:sz w:val="22"/>
              </w:rPr>
              <w:t> </w:t>
            </w:r>
          </w:p>
        </w:tc>
      </w:tr>
      <w:tr w:rsidR="00111C4E" w:rsidRPr="00111C4E" w14:paraId="2B126023" w14:textId="77777777" w:rsidTr="00111C4E">
        <w:trPr>
          <w:trHeight w:val="324"/>
        </w:trPr>
        <w:tc>
          <w:tcPr>
            <w:tcW w:w="5000" w:type="pct"/>
            <w:gridSpan w:val="4"/>
            <w:tcBorders>
              <w:top w:val="nil"/>
              <w:left w:val="nil"/>
              <w:bottom w:val="nil"/>
              <w:right w:val="nil"/>
            </w:tcBorders>
            <w:shd w:val="clear" w:color="auto" w:fill="auto"/>
            <w:vAlign w:val="bottom"/>
            <w:hideMark/>
          </w:tcPr>
          <w:p w14:paraId="4F55D67D" w14:textId="77777777" w:rsidR="00111C4E" w:rsidRPr="00111C4E" w:rsidRDefault="00111C4E" w:rsidP="00111C4E">
            <w:pPr>
              <w:jc w:val="left"/>
              <w:rPr>
                <w:rFonts w:eastAsia="Times New Roman" w:cs="Times New Roman"/>
                <w:color w:val="000000"/>
                <w:sz w:val="22"/>
              </w:rPr>
            </w:pPr>
            <w:r w:rsidRPr="00111C4E">
              <w:rPr>
                <w:rFonts w:eastAsia="Times New Roman" w:cs="Times New Roman"/>
                <w:i/>
                <w:iCs/>
                <w:color w:val="000000"/>
                <w:sz w:val="22"/>
              </w:rPr>
              <w:t>Notes:</w:t>
            </w:r>
            <w:r w:rsidRPr="00111C4E">
              <w:rPr>
                <w:rFonts w:eastAsia="Times New Roman" w:cs="Times New Roman"/>
                <w:color w:val="000000"/>
                <w:sz w:val="22"/>
              </w:rPr>
              <w:t xml:space="preserve"> * p&lt;.10, ** p&lt;.05, *** p&lt;.01. Coefficients are derived using logistic regression analysis. Standard errors are corrected for clustering by member of Congress.</w:t>
            </w:r>
          </w:p>
        </w:tc>
      </w:tr>
    </w:tbl>
    <w:p w14:paraId="7AFEF9AD" w14:textId="77777777" w:rsidR="00C846F8" w:rsidRDefault="00C846F8" w:rsidP="00111C4E">
      <w:pPr>
        <w:jc w:val="left"/>
      </w:pPr>
    </w:p>
    <w:p w14:paraId="22BD4F52" w14:textId="77777777" w:rsidR="00C846F8" w:rsidRDefault="00C846F8">
      <w:r>
        <w:br w:type="page"/>
      </w:r>
    </w:p>
    <w:p w14:paraId="5398BECD" w14:textId="77777777" w:rsidR="0036310E" w:rsidRPr="00E37E7D" w:rsidRDefault="00C846F8" w:rsidP="00C846F8">
      <w:pPr>
        <w:rPr>
          <w:b/>
          <w:smallCaps/>
          <w:sz w:val="22"/>
        </w:rPr>
      </w:pPr>
      <w:r w:rsidRPr="00E37E7D">
        <w:rPr>
          <w:b/>
          <w:smallCaps/>
          <w:sz w:val="22"/>
        </w:rPr>
        <w:lastRenderedPageBreak/>
        <w:t>FIGURE 1</w:t>
      </w:r>
    </w:p>
    <w:p w14:paraId="25DC994A" w14:textId="77777777" w:rsidR="00C846F8" w:rsidRDefault="00C846F8" w:rsidP="00C846F8">
      <w:pPr>
        <w:rPr>
          <w:b/>
          <w:smallCaps/>
          <w:sz w:val="22"/>
        </w:rPr>
      </w:pPr>
      <w:r w:rsidRPr="00E37E7D">
        <w:rPr>
          <w:b/>
          <w:smallCaps/>
          <w:sz w:val="22"/>
        </w:rPr>
        <w:t xml:space="preserve">The Impact of </w:t>
      </w:r>
      <w:r w:rsidR="00E37E7D" w:rsidRPr="00E37E7D">
        <w:rPr>
          <w:b/>
          <w:smallCaps/>
          <w:sz w:val="22"/>
        </w:rPr>
        <w:t>Senior Constituency on the Likelihood of Sponsoring a High-Salience Senior Bill</w:t>
      </w:r>
    </w:p>
    <w:p w14:paraId="1AF1650E" w14:textId="123804B8" w:rsidR="00E37E7D" w:rsidRDefault="00892D0C" w:rsidP="00C846F8">
      <w:pPr>
        <w:rPr>
          <w:b/>
          <w:smallCaps/>
          <w:sz w:val="22"/>
        </w:rPr>
      </w:pPr>
      <w:r>
        <w:rPr>
          <w:b/>
          <w:smallCaps/>
          <w:noProof/>
          <w:sz w:val="22"/>
        </w:rPr>
        <w:drawing>
          <wp:inline distT="0" distB="0" distL="0" distR="0" wp14:anchorId="09F89826" wp14:editId="5D075474">
            <wp:extent cx="5943600" cy="3961217"/>
            <wp:effectExtent l="0" t="0" r="0" b="1270"/>
            <wp:docPr id="5" name="Picture 5" descr="C:\Users\Jim\Dropbox\Research Projects\Age Descriptive Representation\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Dropbox\Research Projects\Age Descriptive Representation\fig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1217"/>
                    </a:xfrm>
                    <a:prstGeom prst="rect">
                      <a:avLst/>
                    </a:prstGeom>
                    <a:noFill/>
                    <a:ln>
                      <a:noFill/>
                    </a:ln>
                  </pic:spPr>
                </pic:pic>
              </a:graphicData>
            </a:graphic>
          </wp:inline>
        </w:drawing>
      </w:r>
    </w:p>
    <w:p w14:paraId="39BE9444" w14:textId="77777777" w:rsidR="00E37E7D" w:rsidRDefault="00E37E7D" w:rsidP="00E37E7D">
      <w:pPr>
        <w:jc w:val="left"/>
        <w:rPr>
          <w:sz w:val="22"/>
        </w:rPr>
      </w:pPr>
      <w:r>
        <w:rPr>
          <w:i/>
          <w:sz w:val="22"/>
        </w:rPr>
        <w:t>Note:</w:t>
      </w:r>
      <w:r>
        <w:rPr>
          <w:sz w:val="22"/>
        </w:rPr>
        <w:t xml:space="preserve"> Derived from logistic regressi</w:t>
      </w:r>
      <w:r w:rsidR="00E3111A">
        <w:rPr>
          <w:sz w:val="22"/>
        </w:rPr>
        <w:t>on analysis presented in Table 3</w:t>
      </w:r>
      <w:r>
        <w:rPr>
          <w:sz w:val="22"/>
        </w:rPr>
        <w:t>, column 2.</w:t>
      </w:r>
    </w:p>
    <w:p w14:paraId="5F4AC7CC" w14:textId="77777777" w:rsidR="00E37E7D" w:rsidRDefault="00E37E7D" w:rsidP="00E37E7D">
      <w:pPr>
        <w:jc w:val="left"/>
        <w:rPr>
          <w:sz w:val="22"/>
        </w:rPr>
      </w:pPr>
    </w:p>
    <w:p w14:paraId="52DFC7CE" w14:textId="77777777" w:rsidR="00AB369E" w:rsidRDefault="00AB369E">
      <w:pPr>
        <w:rPr>
          <w:b/>
          <w:smallCaps/>
          <w:sz w:val="22"/>
        </w:rPr>
      </w:pPr>
      <w:r>
        <w:rPr>
          <w:b/>
          <w:smallCaps/>
          <w:sz w:val="22"/>
        </w:rPr>
        <w:br w:type="page"/>
      </w:r>
    </w:p>
    <w:p w14:paraId="6E011CD9" w14:textId="77777777" w:rsidR="00AB369E" w:rsidRPr="00E37E7D" w:rsidRDefault="00AB369E" w:rsidP="00AB369E">
      <w:pPr>
        <w:rPr>
          <w:b/>
          <w:smallCaps/>
          <w:sz w:val="22"/>
        </w:rPr>
      </w:pPr>
      <w:r>
        <w:rPr>
          <w:b/>
          <w:smallCaps/>
          <w:sz w:val="22"/>
        </w:rPr>
        <w:lastRenderedPageBreak/>
        <w:t>FIGURE 2</w:t>
      </w:r>
    </w:p>
    <w:p w14:paraId="3BBCAA11" w14:textId="77777777" w:rsidR="00AB369E" w:rsidRDefault="00AB369E" w:rsidP="00AB369E">
      <w:pPr>
        <w:rPr>
          <w:b/>
          <w:smallCaps/>
          <w:sz w:val="22"/>
        </w:rPr>
      </w:pPr>
      <w:r w:rsidRPr="00E37E7D">
        <w:rPr>
          <w:b/>
          <w:smallCaps/>
          <w:sz w:val="22"/>
        </w:rPr>
        <w:t xml:space="preserve">The Impact of </w:t>
      </w:r>
      <w:r w:rsidR="002C7A8E">
        <w:rPr>
          <w:b/>
          <w:smallCaps/>
          <w:sz w:val="22"/>
        </w:rPr>
        <w:t>Lawmaker Age</w:t>
      </w:r>
      <w:r w:rsidRPr="00E37E7D">
        <w:rPr>
          <w:b/>
          <w:smallCaps/>
          <w:sz w:val="22"/>
        </w:rPr>
        <w:t xml:space="preserve"> on the Likelihood of Sponsoring a </w:t>
      </w:r>
      <w:r>
        <w:rPr>
          <w:b/>
          <w:smallCaps/>
          <w:sz w:val="22"/>
        </w:rPr>
        <w:t>Low</w:t>
      </w:r>
      <w:r w:rsidRPr="00E37E7D">
        <w:rPr>
          <w:b/>
          <w:smallCaps/>
          <w:sz w:val="22"/>
        </w:rPr>
        <w:t>-Salience Senior Bill</w:t>
      </w:r>
    </w:p>
    <w:p w14:paraId="4FD5241E" w14:textId="4A512BB1" w:rsidR="001E1643" w:rsidRDefault="00A02176" w:rsidP="00AB369E">
      <w:pPr>
        <w:rPr>
          <w:b/>
          <w:smallCaps/>
          <w:sz w:val="22"/>
        </w:rPr>
      </w:pPr>
      <w:r>
        <w:rPr>
          <w:b/>
          <w:smallCaps/>
          <w:noProof/>
          <w:sz w:val="22"/>
        </w:rPr>
        <w:drawing>
          <wp:inline distT="0" distB="0" distL="0" distR="0" wp14:anchorId="139B9773" wp14:editId="73839A87">
            <wp:extent cx="5943600" cy="3961217"/>
            <wp:effectExtent l="0" t="0" r="0" b="1270"/>
            <wp:docPr id="4" name="Picture 4" descr="C:\Users\Jim\Dropbox\Research Projects\Age Descriptive Representation\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Dropbox\Research Projects\Age Descriptive Representation\fig2.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961217"/>
                    </a:xfrm>
                    <a:prstGeom prst="rect">
                      <a:avLst/>
                    </a:prstGeom>
                    <a:noFill/>
                    <a:ln>
                      <a:noFill/>
                    </a:ln>
                  </pic:spPr>
                </pic:pic>
              </a:graphicData>
            </a:graphic>
          </wp:inline>
        </w:drawing>
      </w:r>
    </w:p>
    <w:p w14:paraId="3ED779DA" w14:textId="77777777" w:rsidR="001E1643" w:rsidRDefault="001E1643" w:rsidP="001E1643">
      <w:pPr>
        <w:jc w:val="left"/>
        <w:rPr>
          <w:sz w:val="22"/>
        </w:rPr>
      </w:pPr>
      <w:r>
        <w:rPr>
          <w:i/>
          <w:sz w:val="22"/>
        </w:rPr>
        <w:t>Note:</w:t>
      </w:r>
      <w:r>
        <w:rPr>
          <w:sz w:val="22"/>
        </w:rPr>
        <w:t xml:space="preserve"> Derived from logistic regression analysis presented in Table 3, column 2.</w:t>
      </w:r>
    </w:p>
    <w:p w14:paraId="6B6A69B3" w14:textId="77777777" w:rsidR="001E1643" w:rsidRPr="00E37E7D" w:rsidRDefault="001E1643" w:rsidP="00E37E7D">
      <w:pPr>
        <w:jc w:val="left"/>
        <w:rPr>
          <w:sz w:val="22"/>
        </w:rPr>
      </w:pPr>
    </w:p>
    <w:p w14:paraId="6C65D922" w14:textId="77777777" w:rsidR="00500B08" w:rsidRDefault="00500B08">
      <w:r>
        <w:br w:type="page"/>
      </w:r>
    </w:p>
    <w:p w14:paraId="1A47D6C7" w14:textId="77777777" w:rsidR="00B20950" w:rsidRPr="00DE6219" w:rsidRDefault="00B20950" w:rsidP="00B20950">
      <w:pPr>
        <w:jc w:val="left"/>
      </w:pPr>
    </w:p>
    <w:sectPr w:rsidR="00B20950" w:rsidRPr="00DE6219" w:rsidSect="00E81D8B">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F3C65A" w14:textId="77777777" w:rsidR="006A7345" w:rsidRPr="00500B08" w:rsidRDefault="006A7345" w:rsidP="00500B08">
      <w:pPr>
        <w:pStyle w:val="Footer"/>
        <w:spacing w:line="480" w:lineRule="auto"/>
        <w:rPr>
          <w:b/>
        </w:rPr>
      </w:pPr>
      <w:r>
        <w:rPr>
          <w:b/>
        </w:rPr>
        <w:t>Notes</w:t>
      </w:r>
    </w:p>
  </w:endnote>
  <w:endnote w:type="continuationSeparator" w:id="0">
    <w:p w14:paraId="533B742D" w14:textId="77777777" w:rsidR="006A7345" w:rsidRDefault="006A7345" w:rsidP="00BB32CA">
      <w:pPr>
        <w:jc w:val="both"/>
      </w:pPr>
    </w:p>
  </w:endnote>
  <w:endnote w:type="continuationNotice" w:id="1">
    <w:p w14:paraId="25A3DD23" w14:textId="77777777" w:rsidR="006A7345" w:rsidRDefault="006A7345"/>
  </w:endnote>
  <w:endnote w:id="2">
    <w:p w14:paraId="05D114BE" w14:textId="14863612" w:rsidR="006A7345" w:rsidRPr="0001105F" w:rsidRDefault="006A7345" w:rsidP="00143B2E">
      <w:pPr>
        <w:pStyle w:val="EndnoteText"/>
        <w:spacing w:line="480" w:lineRule="auto"/>
        <w:jc w:val="left"/>
        <w:rPr>
          <w:sz w:val="24"/>
          <w:szCs w:val="24"/>
        </w:rPr>
      </w:pPr>
      <w:r w:rsidRPr="0001105F">
        <w:rPr>
          <w:rStyle w:val="EndnoteReference"/>
          <w:sz w:val="24"/>
          <w:szCs w:val="24"/>
        </w:rPr>
        <w:endnoteRef/>
      </w:r>
      <w:r w:rsidRPr="0001105F">
        <w:rPr>
          <w:sz w:val="24"/>
          <w:szCs w:val="24"/>
        </w:rPr>
        <w:t xml:space="preserve"> E. Scott Adler and John Wilkerson, Congressional Bills Project:</w:t>
      </w:r>
      <w:r>
        <w:rPr>
          <w:sz w:val="24"/>
          <w:szCs w:val="24"/>
        </w:rPr>
        <w:t xml:space="preserve"> 2005-2008, NSF 00880066 and 00880061: </w:t>
      </w:r>
      <w:hyperlink r:id="rId1" w:history="1">
        <w:r w:rsidRPr="00916E97">
          <w:rPr>
            <w:rStyle w:val="Hyperlink"/>
            <w:sz w:val="24"/>
            <w:szCs w:val="24"/>
          </w:rPr>
          <w:t>http://congressionalbills.org/</w:t>
        </w:r>
      </w:hyperlink>
      <w:r>
        <w:rPr>
          <w:sz w:val="24"/>
          <w:szCs w:val="24"/>
        </w:rPr>
        <w:t>.</w:t>
      </w:r>
    </w:p>
  </w:endnote>
  <w:endnote w:id="3">
    <w:p w14:paraId="606B5B58" w14:textId="7BD51000" w:rsidR="006A7345" w:rsidRPr="007B29CE" w:rsidRDefault="006A7345" w:rsidP="0001105F">
      <w:pPr>
        <w:pStyle w:val="EndnoteText"/>
        <w:spacing w:line="480" w:lineRule="auto"/>
        <w:jc w:val="left"/>
        <w:rPr>
          <w:sz w:val="24"/>
          <w:szCs w:val="24"/>
        </w:rPr>
      </w:pPr>
      <w:r w:rsidRPr="0001105F">
        <w:rPr>
          <w:rStyle w:val="EndnoteReference"/>
          <w:sz w:val="24"/>
          <w:szCs w:val="24"/>
        </w:rPr>
        <w:endnoteRef/>
      </w:r>
      <w:r w:rsidRPr="0001105F">
        <w:rPr>
          <w:sz w:val="24"/>
          <w:szCs w:val="24"/>
        </w:rPr>
        <w:t xml:space="preserve"> The Policy Agendas Project data were originally collected by Frank R. Baumgartner and Bryan D. Jones</w:t>
      </w:r>
      <w:r w:rsidRPr="00A55C41">
        <w:rPr>
          <w:sz w:val="24"/>
          <w:szCs w:val="24"/>
        </w:rPr>
        <w:t xml:space="preserve">, with the support of National Science Foundation grant numbers SBR 9320922 and 0111611, and were distributed through the Department of Government at the University of Texas </w:t>
      </w:r>
      <w:r w:rsidRPr="007B29CE">
        <w:rPr>
          <w:sz w:val="24"/>
          <w:szCs w:val="24"/>
        </w:rPr>
        <w:t>at Austin. Neither the NSF nor the original collectors of the data bear any responsibility for the analysis reported here</w:t>
      </w:r>
      <w:r>
        <w:rPr>
          <w:sz w:val="24"/>
          <w:szCs w:val="24"/>
        </w:rPr>
        <w:t>:</w:t>
      </w:r>
      <w:r w:rsidRPr="008F6491">
        <w:rPr>
          <w:sz w:val="24"/>
          <w:szCs w:val="24"/>
        </w:rPr>
        <w:t xml:space="preserve"> </w:t>
      </w:r>
      <w:hyperlink r:id="rId2" w:history="1">
        <w:r w:rsidRPr="00916E97">
          <w:rPr>
            <w:rStyle w:val="Hyperlink"/>
            <w:sz w:val="24"/>
            <w:szCs w:val="24"/>
          </w:rPr>
          <w:t>http://www.policyagendas.org/</w:t>
        </w:r>
      </w:hyperlink>
      <w:r>
        <w:rPr>
          <w:sz w:val="24"/>
          <w:szCs w:val="24"/>
        </w:rPr>
        <w:t>.</w:t>
      </w:r>
    </w:p>
  </w:endnote>
  <w:endnote w:id="4">
    <w:p w14:paraId="119C3343" w14:textId="37D3CA6F" w:rsidR="006A7345" w:rsidRPr="00F63399" w:rsidRDefault="006A7345" w:rsidP="00F63399">
      <w:pPr>
        <w:pStyle w:val="EndnoteText"/>
        <w:spacing w:line="480" w:lineRule="auto"/>
        <w:jc w:val="left"/>
        <w:rPr>
          <w:sz w:val="24"/>
          <w:szCs w:val="24"/>
        </w:rPr>
      </w:pPr>
      <w:r w:rsidRPr="00F63399">
        <w:rPr>
          <w:rStyle w:val="EndnoteReference"/>
          <w:sz w:val="24"/>
          <w:szCs w:val="24"/>
        </w:rPr>
        <w:endnoteRef/>
      </w:r>
      <w:r w:rsidRPr="00F63399">
        <w:rPr>
          <w:sz w:val="24"/>
          <w:szCs w:val="24"/>
        </w:rPr>
        <w:t xml:space="preserve"> </w:t>
      </w:r>
      <w:r>
        <w:rPr>
          <w:sz w:val="24"/>
          <w:szCs w:val="24"/>
        </w:rPr>
        <w:t>This total does not include the 127 bills introduced by delegates and other non-voting members of the House.</w:t>
      </w:r>
    </w:p>
  </w:endnote>
  <w:endnote w:id="5">
    <w:p w14:paraId="30674138" w14:textId="3B77901F" w:rsidR="006A7345" w:rsidRDefault="006A7345" w:rsidP="007B29CE">
      <w:pPr>
        <w:pStyle w:val="EndnoteText"/>
        <w:spacing w:line="480" w:lineRule="auto"/>
        <w:jc w:val="left"/>
      </w:pPr>
      <w:r w:rsidRPr="007B29CE">
        <w:rPr>
          <w:rStyle w:val="EndnoteReference"/>
          <w:sz w:val="24"/>
          <w:szCs w:val="24"/>
        </w:rPr>
        <w:endnoteRef/>
      </w:r>
      <w:r w:rsidRPr="007B29CE">
        <w:rPr>
          <w:sz w:val="24"/>
          <w:szCs w:val="24"/>
        </w:rPr>
        <w:t xml:space="preserve"> A few</w:t>
      </w:r>
      <w:r>
        <w:rPr>
          <w:sz w:val="24"/>
          <w:szCs w:val="24"/>
        </w:rPr>
        <w:t xml:space="preserve"> notable coding decisions arose during this process. First, some very large omnibus bills addressed senior issues within, but within just a small part. These bills were not counted as senior bills as we directed our coding at identifying bills that were primarily focused on senior issues. Second, some bills addressed clear senior issues, but only for a small geographic area, such as Puerto Rico. We did not count these bills either as we considered these bills as more about Puerto Rico than the elderly. Third, we did not count bills that used the Medicare or Social Security programs for policy means not directed at the elderly. For example, one bill indicated that hospitals would be barred from receiving Medicare funds if they did not make their pricing data public. Bills like these were not about Medicare, but used Medicare as a carrot or stick for some other purpose and as such were not considered elderly bills. A full list of senior bills is too long to include in an appendix to this paper, but is hosted online: </w:t>
      </w:r>
      <w:hyperlink r:id="rId3" w:history="1">
        <w:r w:rsidRPr="0071774C">
          <w:rPr>
            <w:rStyle w:val="Hyperlink"/>
            <w:sz w:val="24"/>
            <w:szCs w:val="24"/>
          </w:rPr>
          <w:t>http://goo.gl/NjQ3do</w:t>
        </w:r>
      </w:hyperlink>
      <w:r>
        <w:rPr>
          <w:sz w:val="24"/>
          <w:szCs w:val="24"/>
        </w:rPr>
        <w:t>.</w:t>
      </w:r>
    </w:p>
  </w:endnote>
  <w:endnote w:id="6">
    <w:p w14:paraId="043DDDCF" w14:textId="74E0CD00" w:rsidR="006A7345" w:rsidRPr="00447CFD" w:rsidRDefault="006A7345" w:rsidP="00447CFD">
      <w:pPr>
        <w:pStyle w:val="EndnoteText"/>
        <w:spacing w:line="480" w:lineRule="auto"/>
        <w:jc w:val="left"/>
        <w:rPr>
          <w:sz w:val="24"/>
          <w:szCs w:val="24"/>
        </w:rPr>
      </w:pPr>
      <w:r w:rsidRPr="00447CFD">
        <w:rPr>
          <w:rStyle w:val="EndnoteReference"/>
          <w:sz w:val="24"/>
          <w:szCs w:val="24"/>
        </w:rPr>
        <w:endnoteRef/>
      </w:r>
      <w:r w:rsidRPr="00447CFD">
        <w:rPr>
          <w:sz w:val="24"/>
          <w:szCs w:val="24"/>
        </w:rPr>
        <w:t xml:space="preserve"> </w:t>
      </w:r>
      <w:r>
        <w:rPr>
          <w:sz w:val="24"/>
          <w:szCs w:val="24"/>
        </w:rPr>
        <w:t>We sought data on Medicare beneficiaries broken down by congressional district, but the Centers for Medicare and Medicaid Services does not keep track of such data.</w:t>
      </w:r>
    </w:p>
  </w:endnote>
  <w:endnote w:id="7">
    <w:p w14:paraId="2D14BAEE" w14:textId="05F266E9" w:rsidR="006A7345" w:rsidRPr="001206BB" w:rsidRDefault="006A7345" w:rsidP="001206BB">
      <w:pPr>
        <w:pStyle w:val="EndnoteText"/>
        <w:spacing w:line="480" w:lineRule="auto"/>
        <w:jc w:val="left"/>
        <w:rPr>
          <w:sz w:val="24"/>
          <w:szCs w:val="24"/>
        </w:rPr>
      </w:pPr>
      <w:r w:rsidRPr="001206BB">
        <w:rPr>
          <w:rStyle w:val="EndnoteReference"/>
          <w:sz w:val="24"/>
          <w:szCs w:val="24"/>
        </w:rPr>
        <w:endnoteRef/>
      </w:r>
      <w:r w:rsidRPr="001206BB">
        <w:rPr>
          <w:sz w:val="24"/>
          <w:szCs w:val="24"/>
        </w:rPr>
        <w:t xml:space="preserve"> </w:t>
      </w:r>
      <w:r>
        <w:rPr>
          <w:sz w:val="24"/>
          <w:szCs w:val="24"/>
        </w:rPr>
        <w:t xml:space="preserve">In each analysis we calculate robust standard errors correcting for clustering around each lawmaker in the dataset (see, </w:t>
      </w:r>
      <w:r w:rsidRPr="00D86812">
        <w:rPr>
          <w:sz w:val="24"/>
          <w:szCs w:val="24"/>
        </w:rPr>
        <w:t xml:space="preserve">Primo, </w:t>
      </w:r>
      <w:proofErr w:type="spellStart"/>
      <w:r w:rsidRPr="00D86812">
        <w:rPr>
          <w:sz w:val="24"/>
          <w:szCs w:val="24"/>
        </w:rPr>
        <w:t>Jacobsmeier</w:t>
      </w:r>
      <w:proofErr w:type="spellEnd"/>
      <w:r w:rsidRPr="00D86812">
        <w:rPr>
          <w:sz w:val="24"/>
          <w:szCs w:val="24"/>
        </w:rPr>
        <w:t xml:space="preserve">, and </w:t>
      </w:r>
      <w:proofErr w:type="spellStart"/>
      <w:r w:rsidRPr="00D86812">
        <w:rPr>
          <w:sz w:val="24"/>
          <w:szCs w:val="24"/>
        </w:rPr>
        <w:t>Milyo</w:t>
      </w:r>
      <w:proofErr w:type="spellEnd"/>
      <w:r w:rsidRPr="00D86812">
        <w:rPr>
          <w:sz w:val="24"/>
          <w:szCs w:val="24"/>
        </w:rPr>
        <w:t xml:space="preserve"> 2007</w:t>
      </w:r>
      <w:r>
        <w:rPr>
          <w:sz w:val="24"/>
          <w:szCs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9629142"/>
      <w:docPartObj>
        <w:docPartGallery w:val="Page Numbers (Bottom of Page)"/>
        <w:docPartUnique/>
      </w:docPartObj>
    </w:sdtPr>
    <w:sdtEndPr>
      <w:rPr>
        <w:noProof/>
      </w:rPr>
    </w:sdtEndPr>
    <w:sdtContent>
      <w:p w14:paraId="57728BC6" w14:textId="77777777" w:rsidR="006A7345" w:rsidRDefault="006A7345">
        <w:pPr>
          <w:pStyle w:val="Footer"/>
        </w:pPr>
        <w:r>
          <w:fldChar w:fldCharType="begin"/>
        </w:r>
        <w:r>
          <w:instrText xml:space="preserve"> PAGE   \* MERGEFORMAT </w:instrText>
        </w:r>
        <w:r>
          <w:fldChar w:fldCharType="separate"/>
        </w:r>
        <w:r w:rsidR="00135376">
          <w:rPr>
            <w:noProof/>
          </w:rPr>
          <w:t>30</w:t>
        </w:r>
        <w:r>
          <w:rPr>
            <w:noProof/>
          </w:rPr>
          <w:fldChar w:fldCharType="end"/>
        </w:r>
      </w:p>
    </w:sdtContent>
  </w:sdt>
  <w:p w14:paraId="60691CE5" w14:textId="77777777" w:rsidR="006A7345" w:rsidRDefault="006A73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60BA60" w14:textId="77777777" w:rsidR="006A7345" w:rsidRDefault="006A7345" w:rsidP="00DE6219">
      <w:r>
        <w:separator/>
      </w:r>
    </w:p>
  </w:footnote>
  <w:footnote w:type="continuationSeparator" w:id="0">
    <w:p w14:paraId="5ADA386B" w14:textId="77777777" w:rsidR="006A7345" w:rsidRDefault="006A7345" w:rsidP="00DE62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219"/>
    <w:rsid w:val="000031C0"/>
    <w:rsid w:val="00006F11"/>
    <w:rsid w:val="0001105F"/>
    <w:rsid w:val="00011442"/>
    <w:rsid w:val="0003404B"/>
    <w:rsid w:val="00041F98"/>
    <w:rsid w:val="000438C0"/>
    <w:rsid w:val="00044F06"/>
    <w:rsid w:val="00072715"/>
    <w:rsid w:val="00096678"/>
    <w:rsid w:val="000F0084"/>
    <w:rsid w:val="00106F15"/>
    <w:rsid w:val="00107ACB"/>
    <w:rsid w:val="00111C4E"/>
    <w:rsid w:val="001206BB"/>
    <w:rsid w:val="00124475"/>
    <w:rsid w:val="00135376"/>
    <w:rsid w:val="00143B2E"/>
    <w:rsid w:val="00151AF9"/>
    <w:rsid w:val="00163187"/>
    <w:rsid w:val="00163199"/>
    <w:rsid w:val="00172B08"/>
    <w:rsid w:val="001771B9"/>
    <w:rsid w:val="001923B7"/>
    <w:rsid w:val="00195A98"/>
    <w:rsid w:val="001A2AB3"/>
    <w:rsid w:val="001A6E6E"/>
    <w:rsid w:val="001B1B02"/>
    <w:rsid w:val="001B6C6F"/>
    <w:rsid w:val="001C20F1"/>
    <w:rsid w:val="001C7B93"/>
    <w:rsid w:val="001E1643"/>
    <w:rsid w:val="001F0CCB"/>
    <w:rsid w:val="001F2ADE"/>
    <w:rsid w:val="001F2BB2"/>
    <w:rsid w:val="00237939"/>
    <w:rsid w:val="00276C8E"/>
    <w:rsid w:val="00276E41"/>
    <w:rsid w:val="002820D1"/>
    <w:rsid w:val="002952C9"/>
    <w:rsid w:val="002A39B9"/>
    <w:rsid w:val="002A3B0C"/>
    <w:rsid w:val="002A5400"/>
    <w:rsid w:val="002A7B9F"/>
    <w:rsid w:val="002B06BA"/>
    <w:rsid w:val="002C7A8E"/>
    <w:rsid w:val="002D79B1"/>
    <w:rsid w:val="002F25F8"/>
    <w:rsid w:val="002F475A"/>
    <w:rsid w:val="00332B4A"/>
    <w:rsid w:val="003373AE"/>
    <w:rsid w:val="00340722"/>
    <w:rsid w:val="00341DC0"/>
    <w:rsid w:val="00344CAC"/>
    <w:rsid w:val="0036310E"/>
    <w:rsid w:val="00367432"/>
    <w:rsid w:val="00370A94"/>
    <w:rsid w:val="00372BE4"/>
    <w:rsid w:val="003A39D7"/>
    <w:rsid w:val="003A6EDF"/>
    <w:rsid w:val="003A7A74"/>
    <w:rsid w:val="003B1D39"/>
    <w:rsid w:val="003B1D83"/>
    <w:rsid w:val="003B2A02"/>
    <w:rsid w:val="003B3DB8"/>
    <w:rsid w:val="003C7B23"/>
    <w:rsid w:val="003D0C58"/>
    <w:rsid w:val="003F1214"/>
    <w:rsid w:val="003F3B0C"/>
    <w:rsid w:val="00403317"/>
    <w:rsid w:val="00404A63"/>
    <w:rsid w:val="00407EA4"/>
    <w:rsid w:val="00422C41"/>
    <w:rsid w:val="004350E4"/>
    <w:rsid w:val="00436F96"/>
    <w:rsid w:val="00447CFD"/>
    <w:rsid w:val="004510C7"/>
    <w:rsid w:val="004817C1"/>
    <w:rsid w:val="00495B3F"/>
    <w:rsid w:val="004A7F95"/>
    <w:rsid w:val="004B1C1D"/>
    <w:rsid w:val="004B6277"/>
    <w:rsid w:val="00500B08"/>
    <w:rsid w:val="00517E48"/>
    <w:rsid w:val="005255CB"/>
    <w:rsid w:val="0052764B"/>
    <w:rsid w:val="00551B95"/>
    <w:rsid w:val="00570094"/>
    <w:rsid w:val="00583129"/>
    <w:rsid w:val="00584F9A"/>
    <w:rsid w:val="00585202"/>
    <w:rsid w:val="005A72CD"/>
    <w:rsid w:val="005D1801"/>
    <w:rsid w:val="005D330A"/>
    <w:rsid w:val="005D45FA"/>
    <w:rsid w:val="005E16DE"/>
    <w:rsid w:val="005E42F8"/>
    <w:rsid w:val="00604CCA"/>
    <w:rsid w:val="00610C48"/>
    <w:rsid w:val="00613C2D"/>
    <w:rsid w:val="006325AE"/>
    <w:rsid w:val="00643C05"/>
    <w:rsid w:val="00685DF2"/>
    <w:rsid w:val="006955E8"/>
    <w:rsid w:val="006A71EC"/>
    <w:rsid w:val="006A7345"/>
    <w:rsid w:val="006C3E07"/>
    <w:rsid w:val="006D3136"/>
    <w:rsid w:val="006F3A5C"/>
    <w:rsid w:val="007226D3"/>
    <w:rsid w:val="0073749B"/>
    <w:rsid w:val="00761AAA"/>
    <w:rsid w:val="00791CEE"/>
    <w:rsid w:val="007950F6"/>
    <w:rsid w:val="0079617A"/>
    <w:rsid w:val="007A57D9"/>
    <w:rsid w:val="007B29CE"/>
    <w:rsid w:val="007B5946"/>
    <w:rsid w:val="007C2F7B"/>
    <w:rsid w:val="007D1705"/>
    <w:rsid w:val="007D38A9"/>
    <w:rsid w:val="007F28F7"/>
    <w:rsid w:val="00805B15"/>
    <w:rsid w:val="00813134"/>
    <w:rsid w:val="00816571"/>
    <w:rsid w:val="00830F74"/>
    <w:rsid w:val="008400B5"/>
    <w:rsid w:val="00867DDF"/>
    <w:rsid w:val="00881743"/>
    <w:rsid w:val="00887734"/>
    <w:rsid w:val="00892D0C"/>
    <w:rsid w:val="008A2C86"/>
    <w:rsid w:val="008A696C"/>
    <w:rsid w:val="008C182C"/>
    <w:rsid w:val="008C30BB"/>
    <w:rsid w:val="008E543D"/>
    <w:rsid w:val="008E6808"/>
    <w:rsid w:val="008E7278"/>
    <w:rsid w:val="008F6491"/>
    <w:rsid w:val="009409AC"/>
    <w:rsid w:val="00980FB8"/>
    <w:rsid w:val="00986CFC"/>
    <w:rsid w:val="009B2693"/>
    <w:rsid w:val="009D39DE"/>
    <w:rsid w:val="00A02176"/>
    <w:rsid w:val="00A03130"/>
    <w:rsid w:val="00A05948"/>
    <w:rsid w:val="00A06127"/>
    <w:rsid w:val="00A074FB"/>
    <w:rsid w:val="00A17400"/>
    <w:rsid w:val="00A26FAB"/>
    <w:rsid w:val="00A40EC8"/>
    <w:rsid w:val="00A442F8"/>
    <w:rsid w:val="00A95BF0"/>
    <w:rsid w:val="00A972C4"/>
    <w:rsid w:val="00AA7788"/>
    <w:rsid w:val="00AA7F7D"/>
    <w:rsid w:val="00AB369E"/>
    <w:rsid w:val="00AE0456"/>
    <w:rsid w:val="00B20950"/>
    <w:rsid w:val="00B3107B"/>
    <w:rsid w:val="00B414A9"/>
    <w:rsid w:val="00B417D4"/>
    <w:rsid w:val="00B63CD5"/>
    <w:rsid w:val="00B64811"/>
    <w:rsid w:val="00B7524F"/>
    <w:rsid w:val="00B7774E"/>
    <w:rsid w:val="00B8754B"/>
    <w:rsid w:val="00BA0DBE"/>
    <w:rsid w:val="00BA1853"/>
    <w:rsid w:val="00BA2E4B"/>
    <w:rsid w:val="00BB32CA"/>
    <w:rsid w:val="00BB7512"/>
    <w:rsid w:val="00BC02EB"/>
    <w:rsid w:val="00BC207F"/>
    <w:rsid w:val="00BE7BEF"/>
    <w:rsid w:val="00BF0AB7"/>
    <w:rsid w:val="00BF76C0"/>
    <w:rsid w:val="00C125BC"/>
    <w:rsid w:val="00C178F1"/>
    <w:rsid w:val="00C232FF"/>
    <w:rsid w:val="00C2440D"/>
    <w:rsid w:val="00C3123E"/>
    <w:rsid w:val="00C32FD4"/>
    <w:rsid w:val="00C41887"/>
    <w:rsid w:val="00C472B6"/>
    <w:rsid w:val="00C77F18"/>
    <w:rsid w:val="00C82EDA"/>
    <w:rsid w:val="00C846F8"/>
    <w:rsid w:val="00CB0AA3"/>
    <w:rsid w:val="00CB183F"/>
    <w:rsid w:val="00CC460A"/>
    <w:rsid w:val="00CD72AA"/>
    <w:rsid w:val="00D14560"/>
    <w:rsid w:val="00D27A8A"/>
    <w:rsid w:val="00D305B7"/>
    <w:rsid w:val="00D41937"/>
    <w:rsid w:val="00D8436E"/>
    <w:rsid w:val="00D86812"/>
    <w:rsid w:val="00D90731"/>
    <w:rsid w:val="00DB7CF6"/>
    <w:rsid w:val="00DD61AA"/>
    <w:rsid w:val="00DE6219"/>
    <w:rsid w:val="00E00986"/>
    <w:rsid w:val="00E23B64"/>
    <w:rsid w:val="00E3009B"/>
    <w:rsid w:val="00E3111A"/>
    <w:rsid w:val="00E31499"/>
    <w:rsid w:val="00E37E7D"/>
    <w:rsid w:val="00E62593"/>
    <w:rsid w:val="00E74489"/>
    <w:rsid w:val="00E800ED"/>
    <w:rsid w:val="00E81D8B"/>
    <w:rsid w:val="00E8200B"/>
    <w:rsid w:val="00E82A50"/>
    <w:rsid w:val="00E848E7"/>
    <w:rsid w:val="00E957C4"/>
    <w:rsid w:val="00EB26CA"/>
    <w:rsid w:val="00EB6C29"/>
    <w:rsid w:val="00EE37B4"/>
    <w:rsid w:val="00F074C6"/>
    <w:rsid w:val="00F263FD"/>
    <w:rsid w:val="00F406A8"/>
    <w:rsid w:val="00F63399"/>
    <w:rsid w:val="00F82049"/>
    <w:rsid w:val="00FA1489"/>
    <w:rsid w:val="00FB319A"/>
    <w:rsid w:val="00FC0A72"/>
    <w:rsid w:val="00FD76BB"/>
    <w:rsid w:val="00FE681E"/>
    <w:rsid w:val="00FF51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CB3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219"/>
    <w:rPr>
      <w:color w:val="0000FF" w:themeColor="hyperlink"/>
      <w:u w:val="single"/>
    </w:rPr>
  </w:style>
  <w:style w:type="paragraph" w:styleId="Header">
    <w:name w:val="header"/>
    <w:basedOn w:val="Normal"/>
    <w:link w:val="HeaderChar"/>
    <w:uiPriority w:val="99"/>
    <w:unhideWhenUsed/>
    <w:rsid w:val="00DE6219"/>
    <w:pPr>
      <w:tabs>
        <w:tab w:val="center" w:pos="4680"/>
        <w:tab w:val="right" w:pos="9360"/>
      </w:tabs>
    </w:pPr>
  </w:style>
  <w:style w:type="character" w:customStyle="1" w:styleId="HeaderChar">
    <w:name w:val="Header Char"/>
    <w:basedOn w:val="DefaultParagraphFont"/>
    <w:link w:val="Header"/>
    <w:uiPriority w:val="99"/>
    <w:rsid w:val="00DE6219"/>
  </w:style>
  <w:style w:type="paragraph" w:styleId="Footer">
    <w:name w:val="footer"/>
    <w:basedOn w:val="Normal"/>
    <w:link w:val="FooterChar"/>
    <w:uiPriority w:val="99"/>
    <w:unhideWhenUsed/>
    <w:rsid w:val="00DE6219"/>
    <w:pPr>
      <w:tabs>
        <w:tab w:val="center" w:pos="4680"/>
        <w:tab w:val="right" w:pos="9360"/>
      </w:tabs>
    </w:pPr>
  </w:style>
  <w:style w:type="character" w:customStyle="1" w:styleId="FooterChar">
    <w:name w:val="Footer Char"/>
    <w:basedOn w:val="DefaultParagraphFont"/>
    <w:link w:val="Footer"/>
    <w:uiPriority w:val="99"/>
    <w:rsid w:val="00DE6219"/>
  </w:style>
  <w:style w:type="character" w:styleId="CommentReference">
    <w:name w:val="annotation reference"/>
    <w:basedOn w:val="DefaultParagraphFont"/>
    <w:uiPriority w:val="99"/>
    <w:semiHidden/>
    <w:unhideWhenUsed/>
    <w:rsid w:val="00685DF2"/>
    <w:rPr>
      <w:sz w:val="16"/>
      <w:szCs w:val="16"/>
    </w:rPr>
  </w:style>
  <w:style w:type="paragraph" w:styleId="CommentText">
    <w:name w:val="annotation text"/>
    <w:basedOn w:val="Normal"/>
    <w:link w:val="CommentTextChar"/>
    <w:uiPriority w:val="99"/>
    <w:semiHidden/>
    <w:unhideWhenUsed/>
    <w:rsid w:val="00685DF2"/>
    <w:rPr>
      <w:sz w:val="20"/>
      <w:szCs w:val="20"/>
    </w:rPr>
  </w:style>
  <w:style w:type="character" w:customStyle="1" w:styleId="CommentTextChar">
    <w:name w:val="Comment Text Char"/>
    <w:basedOn w:val="DefaultParagraphFont"/>
    <w:link w:val="CommentText"/>
    <w:uiPriority w:val="99"/>
    <w:semiHidden/>
    <w:rsid w:val="00685DF2"/>
    <w:rPr>
      <w:sz w:val="20"/>
      <w:szCs w:val="20"/>
    </w:rPr>
  </w:style>
  <w:style w:type="paragraph" w:styleId="CommentSubject">
    <w:name w:val="annotation subject"/>
    <w:basedOn w:val="CommentText"/>
    <w:next w:val="CommentText"/>
    <w:link w:val="CommentSubjectChar"/>
    <w:uiPriority w:val="99"/>
    <w:semiHidden/>
    <w:unhideWhenUsed/>
    <w:rsid w:val="00685DF2"/>
    <w:rPr>
      <w:b/>
      <w:bCs/>
    </w:rPr>
  </w:style>
  <w:style w:type="character" w:customStyle="1" w:styleId="CommentSubjectChar">
    <w:name w:val="Comment Subject Char"/>
    <w:basedOn w:val="CommentTextChar"/>
    <w:link w:val="CommentSubject"/>
    <w:uiPriority w:val="99"/>
    <w:semiHidden/>
    <w:rsid w:val="00685DF2"/>
    <w:rPr>
      <w:b/>
      <w:bCs/>
      <w:sz w:val="20"/>
      <w:szCs w:val="20"/>
    </w:rPr>
  </w:style>
  <w:style w:type="paragraph" w:styleId="BalloonText">
    <w:name w:val="Balloon Text"/>
    <w:basedOn w:val="Normal"/>
    <w:link w:val="BalloonTextChar"/>
    <w:uiPriority w:val="99"/>
    <w:semiHidden/>
    <w:unhideWhenUsed/>
    <w:rsid w:val="00685DF2"/>
    <w:rPr>
      <w:rFonts w:ascii="Tahoma" w:hAnsi="Tahoma" w:cs="Tahoma"/>
      <w:sz w:val="16"/>
      <w:szCs w:val="16"/>
    </w:rPr>
  </w:style>
  <w:style w:type="character" w:customStyle="1" w:styleId="BalloonTextChar">
    <w:name w:val="Balloon Text Char"/>
    <w:basedOn w:val="DefaultParagraphFont"/>
    <w:link w:val="BalloonText"/>
    <w:uiPriority w:val="99"/>
    <w:semiHidden/>
    <w:rsid w:val="00685DF2"/>
    <w:rPr>
      <w:rFonts w:ascii="Tahoma" w:hAnsi="Tahoma" w:cs="Tahoma"/>
      <w:sz w:val="16"/>
      <w:szCs w:val="16"/>
    </w:rPr>
  </w:style>
  <w:style w:type="paragraph" w:styleId="EndnoteText">
    <w:name w:val="endnote text"/>
    <w:basedOn w:val="Normal"/>
    <w:link w:val="EndnoteTextChar"/>
    <w:uiPriority w:val="99"/>
    <w:semiHidden/>
    <w:unhideWhenUsed/>
    <w:rsid w:val="00500B08"/>
    <w:rPr>
      <w:sz w:val="20"/>
      <w:szCs w:val="20"/>
    </w:rPr>
  </w:style>
  <w:style w:type="character" w:customStyle="1" w:styleId="EndnoteTextChar">
    <w:name w:val="Endnote Text Char"/>
    <w:basedOn w:val="DefaultParagraphFont"/>
    <w:link w:val="EndnoteText"/>
    <w:uiPriority w:val="99"/>
    <w:semiHidden/>
    <w:rsid w:val="00500B08"/>
    <w:rPr>
      <w:sz w:val="20"/>
      <w:szCs w:val="20"/>
    </w:rPr>
  </w:style>
  <w:style w:type="character" w:styleId="EndnoteReference">
    <w:name w:val="endnote reference"/>
    <w:basedOn w:val="DefaultParagraphFont"/>
    <w:uiPriority w:val="99"/>
    <w:semiHidden/>
    <w:unhideWhenUsed/>
    <w:rsid w:val="00500B08"/>
    <w:rPr>
      <w:vertAlign w:val="superscript"/>
    </w:rPr>
  </w:style>
  <w:style w:type="paragraph" w:styleId="Revision">
    <w:name w:val="Revision"/>
    <w:hidden/>
    <w:uiPriority w:val="99"/>
    <w:semiHidden/>
    <w:rsid w:val="002A3B0C"/>
    <w:pPr>
      <w:jc w:val="left"/>
    </w:pPr>
  </w:style>
  <w:style w:type="character" w:styleId="FollowedHyperlink">
    <w:name w:val="FollowedHyperlink"/>
    <w:basedOn w:val="DefaultParagraphFont"/>
    <w:uiPriority w:val="99"/>
    <w:semiHidden/>
    <w:unhideWhenUsed/>
    <w:rsid w:val="00107AC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219"/>
    <w:rPr>
      <w:color w:val="0000FF" w:themeColor="hyperlink"/>
      <w:u w:val="single"/>
    </w:rPr>
  </w:style>
  <w:style w:type="paragraph" w:styleId="Header">
    <w:name w:val="header"/>
    <w:basedOn w:val="Normal"/>
    <w:link w:val="HeaderChar"/>
    <w:uiPriority w:val="99"/>
    <w:unhideWhenUsed/>
    <w:rsid w:val="00DE6219"/>
    <w:pPr>
      <w:tabs>
        <w:tab w:val="center" w:pos="4680"/>
        <w:tab w:val="right" w:pos="9360"/>
      </w:tabs>
    </w:pPr>
  </w:style>
  <w:style w:type="character" w:customStyle="1" w:styleId="HeaderChar">
    <w:name w:val="Header Char"/>
    <w:basedOn w:val="DefaultParagraphFont"/>
    <w:link w:val="Header"/>
    <w:uiPriority w:val="99"/>
    <w:rsid w:val="00DE6219"/>
  </w:style>
  <w:style w:type="paragraph" w:styleId="Footer">
    <w:name w:val="footer"/>
    <w:basedOn w:val="Normal"/>
    <w:link w:val="FooterChar"/>
    <w:uiPriority w:val="99"/>
    <w:unhideWhenUsed/>
    <w:rsid w:val="00DE6219"/>
    <w:pPr>
      <w:tabs>
        <w:tab w:val="center" w:pos="4680"/>
        <w:tab w:val="right" w:pos="9360"/>
      </w:tabs>
    </w:pPr>
  </w:style>
  <w:style w:type="character" w:customStyle="1" w:styleId="FooterChar">
    <w:name w:val="Footer Char"/>
    <w:basedOn w:val="DefaultParagraphFont"/>
    <w:link w:val="Footer"/>
    <w:uiPriority w:val="99"/>
    <w:rsid w:val="00DE6219"/>
  </w:style>
  <w:style w:type="character" w:styleId="CommentReference">
    <w:name w:val="annotation reference"/>
    <w:basedOn w:val="DefaultParagraphFont"/>
    <w:uiPriority w:val="99"/>
    <w:semiHidden/>
    <w:unhideWhenUsed/>
    <w:rsid w:val="00685DF2"/>
    <w:rPr>
      <w:sz w:val="16"/>
      <w:szCs w:val="16"/>
    </w:rPr>
  </w:style>
  <w:style w:type="paragraph" w:styleId="CommentText">
    <w:name w:val="annotation text"/>
    <w:basedOn w:val="Normal"/>
    <w:link w:val="CommentTextChar"/>
    <w:uiPriority w:val="99"/>
    <w:semiHidden/>
    <w:unhideWhenUsed/>
    <w:rsid w:val="00685DF2"/>
    <w:rPr>
      <w:sz w:val="20"/>
      <w:szCs w:val="20"/>
    </w:rPr>
  </w:style>
  <w:style w:type="character" w:customStyle="1" w:styleId="CommentTextChar">
    <w:name w:val="Comment Text Char"/>
    <w:basedOn w:val="DefaultParagraphFont"/>
    <w:link w:val="CommentText"/>
    <w:uiPriority w:val="99"/>
    <w:semiHidden/>
    <w:rsid w:val="00685DF2"/>
    <w:rPr>
      <w:sz w:val="20"/>
      <w:szCs w:val="20"/>
    </w:rPr>
  </w:style>
  <w:style w:type="paragraph" w:styleId="CommentSubject">
    <w:name w:val="annotation subject"/>
    <w:basedOn w:val="CommentText"/>
    <w:next w:val="CommentText"/>
    <w:link w:val="CommentSubjectChar"/>
    <w:uiPriority w:val="99"/>
    <w:semiHidden/>
    <w:unhideWhenUsed/>
    <w:rsid w:val="00685DF2"/>
    <w:rPr>
      <w:b/>
      <w:bCs/>
    </w:rPr>
  </w:style>
  <w:style w:type="character" w:customStyle="1" w:styleId="CommentSubjectChar">
    <w:name w:val="Comment Subject Char"/>
    <w:basedOn w:val="CommentTextChar"/>
    <w:link w:val="CommentSubject"/>
    <w:uiPriority w:val="99"/>
    <w:semiHidden/>
    <w:rsid w:val="00685DF2"/>
    <w:rPr>
      <w:b/>
      <w:bCs/>
      <w:sz w:val="20"/>
      <w:szCs w:val="20"/>
    </w:rPr>
  </w:style>
  <w:style w:type="paragraph" w:styleId="BalloonText">
    <w:name w:val="Balloon Text"/>
    <w:basedOn w:val="Normal"/>
    <w:link w:val="BalloonTextChar"/>
    <w:uiPriority w:val="99"/>
    <w:semiHidden/>
    <w:unhideWhenUsed/>
    <w:rsid w:val="00685DF2"/>
    <w:rPr>
      <w:rFonts w:ascii="Tahoma" w:hAnsi="Tahoma" w:cs="Tahoma"/>
      <w:sz w:val="16"/>
      <w:szCs w:val="16"/>
    </w:rPr>
  </w:style>
  <w:style w:type="character" w:customStyle="1" w:styleId="BalloonTextChar">
    <w:name w:val="Balloon Text Char"/>
    <w:basedOn w:val="DefaultParagraphFont"/>
    <w:link w:val="BalloonText"/>
    <w:uiPriority w:val="99"/>
    <w:semiHidden/>
    <w:rsid w:val="00685DF2"/>
    <w:rPr>
      <w:rFonts w:ascii="Tahoma" w:hAnsi="Tahoma" w:cs="Tahoma"/>
      <w:sz w:val="16"/>
      <w:szCs w:val="16"/>
    </w:rPr>
  </w:style>
  <w:style w:type="paragraph" w:styleId="EndnoteText">
    <w:name w:val="endnote text"/>
    <w:basedOn w:val="Normal"/>
    <w:link w:val="EndnoteTextChar"/>
    <w:uiPriority w:val="99"/>
    <w:semiHidden/>
    <w:unhideWhenUsed/>
    <w:rsid w:val="00500B08"/>
    <w:rPr>
      <w:sz w:val="20"/>
      <w:szCs w:val="20"/>
    </w:rPr>
  </w:style>
  <w:style w:type="character" w:customStyle="1" w:styleId="EndnoteTextChar">
    <w:name w:val="Endnote Text Char"/>
    <w:basedOn w:val="DefaultParagraphFont"/>
    <w:link w:val="EndnoteText"/>
    <w:uiPriority w:val="99"/>
    <w:semiHidden/>
    <w:rsid w:val="00500B08"/>
    <w:rPr>
      <w:sz w:val="20"/>
      <w:szCs w:val="20"/>
    </w:rPr>
  </w:style>
  <w:style w:type="character" w:styleId="EndnoteReference">
    <w:name w:val="endnote reference"/>
    <w:basedOn w:val="DefaultParagraphFont"/>
    <w:uiPriority w:val="99"/>
    <w:semiHidden/>
    <w:unhideWhenUsed/>
    <w:rsid w:val="00500B08"/>
    <w:rPr>
      <w:vertAlign w:val="superscript"/>
    </w:rPr>
  </w:style>
  <w:style w:type="paragraph" w:styleId="Revision">
    <w:name w:val="Revision"/>
    <w:hidden/>
    <w:uiPriority w:val="99"/>
    <w:semiHidden/>
    <w:rsid w:val="002A3B0C"/>
    <w:pPr>
      <w:jc w:val="left"/>
    </w:pPr>
  </w:style>
  <w:style w:type="character" w:styleId="FollowedHyperlink">
    <w:name w:val="FollowedHyperlink"/>
    <w:basedOn w:val="DefaultParagraphFont"/>
    <w:uiPriority w:val="99"/>
    <w:semiHidden/>
    <w:unhideWhenUsed/>
    <w:rsid w:val="00107AC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841338">
      <w:bodyDiv w:val="1"/>
      <w:marLeft w:val="0"/>
      <w:marRight w:val="0"/>
      <w:marTop w:val="0"/>
      <w:marBottom w:val="0"/>
      <w:divBdr>
        <w:top w:val="none" w:sz="0" w:space="0" w:color="auto"/>
        <w:left w:val="none" w:sz="0" w:space="0" w:color="auto"/>
        <w:bottom w:val="none" w:sz="0" w:space="0" w:color="auto"/>
        <w:right w:val="none" w:sz="0" w:space="0" w:color="auto"/>
      </w:divBdr>
    </w:div>
    <w:div w:id="515461932">
      <w:bodyDiv w:val="1"/>
      <w:marLeft w:val="0"/>
      <w:marRight w:val="0"/>
      <w:marTop w:val="0"/>
      <w:marBottom w:val="0"/>
      <w:divBdr>
        <w:top w:val="none" w:sz="0" w:space="0" w:color="auto"/>
        <w:left w:val="none" w:sz="0" w:space="0" w:color="auto"/>
        <w:bottom w:val="none" w:sz="0" w:space="0" w:color="auto"/>
        <w:right w:val="none" w:sz="0" w:space="0" w:color="auto"/>
      </w:divBdr>
    </w:div>
    <w:div w:id="546379171">
      <w:bodyDiv w:val="1"/>
      <w:marLeft w:val="0"/>
      <w:marRight w:val="0"/>
      <w:marTop w:val="0"/>
      <w:marBottom w:val="0"/>
      <w:divBdr>
        <w:top w:val="none" w:sz="0" w:space="0" w:color="auto"/>
        <w:left w:val="none" w:sz="0" w:space="0" w:color="auto"/>
        <w:bottom w:val="none" w:sz="0" w:space="0" w:color="auto"/>
        <w:right w:val="none" w:sz="0" w:space="0" w:color="auto"/>
      </w:divBdr>
    </w:div>
    <w:div w:id="1028290862">
      <w:bodyDiv w:val="1"/>
      <w:marLeft w:val="0"/>
      <w:marRight w:val="0"/>
      <w:marTop w:val="0"/>
      <w:marBottom w:val="0"/>
      <w:divBdr>
        <w:top w:val="none" w:sz="0" w:space="0" w:color="auto"/>
        <w:left w:val="none" w:sz="0" w:space="0" w:color="auto"/>
        <w:bottom w:val="none" w:sz="0" w:space="0" w:color="auto"/>
        <w:right w:val="none" w:sz="0" w:space="0" w:color="auto"/>
      </w:divBdr>
    </w:div>
    <w:div w:id="1116484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es.curry@utah.edu" TargetMode="External"/><Relationship Id="rId13" Type="http://schemas.openxmlformats.org/officeDocument/2006/relationships/image" Target="media/image2.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sus.gov/prod/cen2010/briefs/c2010br-09.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att.haydon@utah.edu" TargetMode="External"/><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goo.gl/NjQ3do" TargetMode="External"/><Relationship Id="rId2" Type="http://schemas.openxmlformats.org/officeDocument/2006/relationships/hyperlink" Target="http://www.policyagendas.org/" TargetMode="External"/><Relationship Id="rId1" Type="http://schemas.openxmlformats.org/officeDocument/2006/relationships/hyperlink" Target="http://congressionalbill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10D8E-C2E6-49E4-B43F-9AC150E9A0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7273</Words>
  <Characters>41461</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48637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Jim</cp:lastModifiedBy>
  <cp:revision>2</cp:revision>
  <cp:lastPrinted>2015-02-16T20:14:00Z</cp:lastPrinted>
  <dcterms:created xsi:type="dcterms:W3CDTF">2015-03-28T21:50:00Z</dcterms:created>
  <dcterms:modified xsi:type="dcterms:W3CDTF">2015-03-28T21:50:00Z</dcterms:modified>
</cp:coreProperties>
</file>