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DF8B9" w14:textId="0DD21235" w:rsidR="0090120A" w:rsidRPr="00765407" w:rsidRDefault="0090120A" w:rsidP="003A4DA9">
      <w:pPr>
        <w:spacing w:line="360" w:lineRule="auto"/>
        <w:jc w:val="both"/>
        <w:rPr>
          <w:rFonts w:ascii="Garamond" w:hAnsi="Garamond"/>
          <w:lang w:val="en-US"/>
        </w:rPr>
      </w:pPr>
      <w:r w:rsidRPr="00765407">
        <w:rPr>
          <w:rFonts w:ascii="Garamond" w:hAnsi="Garamond"/>
          <w:lang w:val="en-US"/>
        </w:rPr>
        <w:tab/>
        <w:t xml:space="preserve">This paper investigates the relationship between the domain of things we call ideas, which philosophers, political theorists, and intellectual historians have claimed as their privileged object of study, and the domain of empirical history. </w:t>
      </w:r>
      <w:r w:rsidRPr="00765407">
        <w:rPr>
          <w:rFonts w:ascii="Garamond" w:eastAsia="Times New Roman" w:hAnsi="Garamond" w:cs="Times New Roman"/>
          <w:shd w:val="clear" w:color="auto" w:fill="FFFFFF"/>
        </w:rPr>
        <w:t xml:space="preserve">How do we understand the entangled relationship between intellectual history and the study of ideas with the concrete material practices of political actors? </w:t>
      </w:r>
      <w:r w:rsidRPr="00765407">
        <w:rPr>
          <w:rFonts w:ascii="Garamond" w:hAnsi="Garamond"/>
          <w:lang w:val="en-US"/>
        </w:rPr>
        <w:t>I argue that the common distinction between the ideational and the material evident in dominant methodologies of intellectual history shares an affinity with a widespread understanding of democracy as involving the repression of the material body. That is, I suggest that the privileging of linguistic practices in the historical study of ideas is closely related to a certain democratic suspicion of the body. Accordingly, this paper aims to rethink the place of the body in the historiography of democracy to better attend to the material body and its capacity to generate conceptual meaning. Doing so</w:t>
      </w:r>
      <w:r w:rsidR="000D4C41" w:rsidRPr="00765407">
        <w:rPr>
          <w:rFonts w:ascii="Garamond" w:hAnsi="Garamond"/>
          <w:lang w:val="en-US"/>
        </w:rPr>
        <w:t xml:space="preserve">, I propose, </w:t>
      </w:r>
      <w:r w:rsidRPr="00765407">
        <w:rPr>
          <w:rFonts w:ascii="Garamond" w:hAnsi="Garamond"/>
          <w:lang w:val="en-US"/>
        </w:rPr>
        <w:t xml:space="preserve">will </w:t>
      </w:r>
      <w:r w:rsidR="000D4C41" w:rsidRPr="00765407">
        <w:rPr>
          <w:rFonts w:ascii="Garamond" w:hAnsi="Garamond"/>
          <w:lang w:val="en-US"/>
        </w:rPr>
        <w:t xml:space="preserve">help </w:t>
      </w:r>
      <w:r w:rsidRPr="00765407">
        <w:rPr>
          <w:rFonts w:ascii="Garamond" w:hAnsi="Garamond"/>
          <w:lang w:val="en-US"/>
        </w:rPr>
        <w:t xml:space="preserve">us rethink the relationship between matter and meaning and explore how the non-linguistic practices of the body can have signifying effects. </w:t>
      </w:r>
    </w:p>
    <w:p w14:paraId="209BADE5" w14:textId="1BECC32E" w:rsidR="0090120A" w:rsidRPr="00765407" w:rsidRDefault="0090120A" w:rsidP="00FA5791">
      <w:pPr>
        <w:pStyle w:val="ListParagraph"/>
        <w:numPr>
          <w:ilvl w:val="0"/>
          <w:numId w:val="8"/>
        </w:numPr>
        <w:spacing w:line="360" w:lineRule="auto"/>
        <w:jc w:val="both"/>
        <w:rPr>
          <w:rFonts w:ascii="Garamond" w:hAnsi="Garamond"/>
          <w:lang w:val="en-US"/>
        </w:rPr>
      </w:pPr>
      <w:r w:rsidRPr="00765407">
        <w:rPr>
          <w:rFonts w:ascii="Garamond" w:hAnsi="Garamond"/>
          <w:b/>
          <w:bCs/>
          <w:lang w:val="en-US"/>
        </w:rPr>
        <w:t>Studying Ideas</w:t>
      </w:r>
    </w:p>
    <w:p w14:paraId="0F6AF81F" w14:textId="77777777" w:rsidR="0090120A" w:rsidRPr="00765407" w:rsidRDefault="0090120A" w:rsidP="00FA5791">
      <w:pPr>
        <w:spacing w:line="360" w:lineRule="auto"/>
        <w:ind w:firstLine="720"/>
        <w:jc w:val="both"/>
        <w:rPr>
          <w:rFonts w:ascii="Garamond" w:hAnsi="Garamond"/>
        </w:rPr>
      </w:pPr>
      <w:r w:rsidRPr="00765407">
        <w:rPr>
          <w:rFonts w:ascii="Garamond" w:hAnsi="Garamond"/>
        </w:rPr>
        <w:t xml:space="preserve">The English word “idea” originates from the Greek word </w:t>
      </w:r>
      <w:r w:rsidRPr="00765407">
        <w:rPr>
          <w:rStyle w:val="polytonic"/>
          <w:rFonts w:ascii="Garamond" w:hAnsi="Garamond"/>
        </w:rPr>
        <w:t>eidos</w:t>
      </w:r>
      <w:r w:rsidRPr="00765407">
        <w:rPr>
          <w:rFonts w:ascii="Garamond" w:hAnsi="Garamond"/>
        </w:rPr>
        <w:t xml:space="preserve"> (</w:t>
      </w:r>
      <w:proofErr w:type="spellStart"/>
      <w:r w:rsidRPr="00765407">
        <w:rPr>
          <w:rStyle w:val="polytonic"/>
          <w:rFonts w:ascii="Garamond" w:hAnsi="Garamond"/>
        </w:rPr>
        <w:t>ε</w:t>
      </w:r>
      <w:r w:rsidRPr="00765407">
        <w:rPr>
          <w:rStyle w:val="polytonic"/>
          <w:rFonts w:ascii="Times New Roman" w:hAnsi="Times New Roman" w:cs="Times New Roman"/>
        </w:rPr>
        <w:t>ἶ</w:t>
      </w:r>
      <w:r w:rsidRPr="00765407">
        <w:rPr>
          <w:rStyle w:val="polytonic"/>
          <w:rFonts w:ascii="Garamond" w:hAnsi="Garamond"/>
        </w:rPr>
        <w:t>δος</w:t>
      </w:r>
      <w:proofErr w:type="spellEnd"/>
      <w:r w:rsidRPr="00765407">
        <w:rPr>
          <w:rStyle w:val="polytonic"/>
          <w:rFonts w:ascii="Garamond" w:hAnsi="Garamond"/>
        </w:rPr>
        <w:t>),</w:t>
      </w:r>
      <w:r w:rsidRPr="00765407">
        <w:rPr>
          <w:rFonts w:ascii="Garamond" w:hAnsi="Garamond"/>
        </w:rPr>
        <w:t xml:space="preserve"> meaning something that is seen. But if ideas can be seen, where do they exist and how exactly do we see them? Despite sophisticated developments in the study of ideas, I argue that intellectual history remains tethered to a mentalist vision that portrays ideas as immaterial </w:t>
      </w:r>
      <w:r w:rsidRPr="00765407">
        <w:rPr>
          <w:rFonts w:ascii="Garamond" w:eastAsia="Times New Roman" w:hAnsi="Garamond" w:cs="Times New Roman"/>
        </w:rPr>
        <w:t xml:space="preserve">objects existing in a metaphysical domain, which we can only access via logocentric practices associated with language, speech, and reason. According to this mentalist picture, ideas are related to but ultimately separable from the world of matter and the body, which is believed to be mute and ultimately incapable of signifying meaning without the linguistic apparatus of speech. </w:t>
      </w:r>
    </w:p>
    <w:p w14:paraId="15BD6D25" w14:textId="7FF3FD49" w:rsidR="0090120A" w:rsidRPr="00765407" w:rsidRDefault="0090120A" w:rsidP="00FA5791">
      <w:pPr>
        <w:spacing w:line="360" w:lineRule="auto"/>
        <w:jc w:val="both"/>
        <w:rPr>
          <w:rFonts w:ascii="Garamond" w:hAnsi="Garamond"/>
          <w:lang w:val="en-US"/>
        </w:rPr>
      </w:pPr>
      <w:r w:rsidRPr="00765407">
        <w:rPr>
          <w:rFonts w:ascii="Garamond" w:hAnsi="Garamond"/>
          <w:lang w:val="en-US"/>
        </w:rPr>
        <w:tab/>
        <w:t>In his William James Lectures at Harvard University in 1933, Arthur Lovejoy outlined the methodological principles for the emerging disciplinary field of the history of ideas</w:t>
      </w:r>
      <w:r w:rsidR="000D4C41" w:rsidRPr="00765407">
        <w:rPr>
          <w:rFonts w:ascii="Garamond" w:hAnsi="Garamond"/>
          <w:lang w:val="en-US"/>
        </w:rPr>
        <w:t xml:space="preserve">, </w:t>
      </w:r>
      <w:r w:rsidR="00D6109C">
        <w:rPr>
          <w:rFonts w:ascii="Garamond" w:hAnsi="Garamond"/>
          <w:lang w:val="en-US"/>
        </w:rPr>
        <w:t xml:space="preserve">and his comments </w:t>
      </w:r>
      <w:r w:rsidR="000D4C41" w:rsidRPr="00765407">
        <w:rPr>
          <w:rFonts w:ascii="Garamond" w:hAnsi="Garamond"/>
          <w:lang w:val="en-US"/>
        </w:rPr>
        <w:t xml:space="preserve">would later </w:t>
      </w:r>
      <w:r w:rsidR="00D6109C">
        <w:rPr>
          <w:rFonts w:ascii="Garamond" w:hAnsi="Garamond"/>
          <w:lang w:val="en-US"/>
        </w:rPr>
        <w:t xml:space="preserve">be </w:t>
      </w:r>
      <w:r w:rsidR="000D4C41" w:rsidRPr="00765407">
        <w:rPr>
          <w:rFonts w:ascii="Garamond" w:hAnsi="Garamond"/>
          <w:lang w:val="en-US"/>
        </w:rPr>
        <w:t xml:space="preserve">published </w:t>
      </w:r>
      <w:r w:rsidR="00D6109C">
        <w:rPr>
          <w:rFonts w:ascii="Garamond" w:hAnsi="Garamond"/>
          <w:lang w:val="en-US"/>
        </w:rPr>
        <w:t xml:space="preserve">in his 1936 study, </w:t>
      </w:r>
      <w:r w:rsidR="000D4C41" w:rsidRPr="00765407">
        <w:rPr>
          <w:rFonts w:ascii="Garamond" w:hAnsi="Garamond"/>
          <w:i/>
          <w:iCs/>
          <w:lang w:val="en-US"/>
        </w:rPr>
        <w:t>The Great Chain of Being</w:t>
      </w:r>
      <w:r w:rsidR="000D4C41" w:rsidRPr="00765407">
        <w:rPr>
          <w:rFonts w:ascii="Garamond" w:hAnsi="Garamond"/>
          <w:lang w:val="en-US"/>
        </w:rPr>
        <w:t>.</w:t>
      </w:r>
      <w:r w:rsidRPr="00765407">
        <w:rPr>
          <w:rStyle w:val="FootnoteReference"/>
          <w:rFonts w:ascii="Garamond" w:hAnsi="Garamond"/>
          <w:lang w:val="en-US"/>
        </w:rPr>
        <w:t xml:space="preserve"> </w:t>
      </w:r>
      <w:r w:rsidRPr="00765407">
        <w:rPr>
          <w:rStyle w:val="FootnoteReference"/>
          <w:rFonts w:ascii="Garamond" w:hAnsi="Garamond"/>
          <w:lang w:val="en-US"/>
        </w:rPr>
        <w:footnoteReference w:id="1"/>
      </w:r>
      <w:r w:rsidRPr="00765407">
        <w:rPr>
          <w:rFonts w:ascii="Garamond" w:hAnsi="Garamond"/>
          <w:lang w:val="en-US"/>
        </w:rPr>
        <w:t xml:space="preserve"> Critical of historians for taking “very little interest in an idea when it does not wear philosophical full dress,” Lovejoy argued that understanding how certain ideas gained historical dominance require</w:t>
      </w:r>
      <w:r w:rsidR="00D6109C">
        <w:rPr>
          <w:rFonts w:ascii="Garamond" w:hAnsi="Garamond"/>
          <w:lang w:val="en-US"/>
        </w:rPr>
        <w:t>s</w:t>
      </w:r>
      <w:r w:rsidRPr="00765407">
        <w:rPr>
          <w:rFonts w:ascii="Garamond" w:hAnsi="Garamond"/>
          <w:lang w:val="en-US"/>
        </w:rPr>
        <w:t xml:space="preserve"> scholars to study not just canonical philosophers but a wide variety of fields and thinkers. To do so, Lovejoy claimed that historians must study what he called “unit-ideas,” the elementary building blocks that make any larger system of thought.</w:t>
      </w:r>
      <w:r w:rsidRPr="00765407">
        <w:rPr>
          <w:rStyle w:val="FootnoteReference"/>
          <w:rFonts w:ascii="Garamond" w:hAnsi="Garamond"/>
          <w:lang w:val="en-US"/>
        </w:rPr>
        <w:footnoteReference w:id="2"/>
      </w:r>
      <w:r w:rsidRPr="00765407">
        <w:rPr>
          <w:rFonts w:ascii="Garamond" w:hAnsi="Garamond"/>
          <w:lang w:val="en-US"/>
        </w:rPr>
        <w:t xml:space="preserve"> Lovejoy believed that t</w:t>
      </w:r>
      <w:r w:rsidRPr="00765407">
        <w:rPr>
          <w:rFonts w:ascii="Garamond" w:eastAsia="Times New Roman" w:hAnsi="Garamond" w:cs="Times New Roman"/>
        </w:rPr>
        <w:t>he number of “essentially distinct” unit-ideas are “</w:t>
      </w:r>
      <w:r w:rsidRPr="00765407">
        <w:rPr>
          <w:rFonts w:ascii="Garamond" w:hAnsi="Garamond"/>
          <w:lang w:val="en-US"/>
        </w:rPr>
        <w:t>decidedly limited,” and so any intellectual innovations that appear in history are “due solely to the novelty of the application or arrangement” of these unit-ideas.</w:t>
      </w:r>
      <w:r w:rsidRPr="00765407">
        <w:rPr>
          <w:rStyle w:val="FootnoteReference"/>
          <w:rFonts w:ascii="Garamond" w:hAnsi="Garamond"/>
          <w:lang w:val="en-US"/>
        </w:rPr>
        <w:footnoteReference w:id="3"/>
      </w:r>
      <w:r w:rsidRPr="00765407">
        <w:rPr>
          <w:rFonts w:ascii="Garamond" w:hAnsi="Garamond"/>
          <w:lang w:val="en-US"/>
        </w:rPr>
        <w:t xml:space="preserve"> While systems </w:t>
      </w:r>
      <w:r w:rsidRPr="00765407">
        <w:rPr>
          <w:rFonts w:ascii="Garamond" w:hAnsi="Garamond"/>
          <w:lang w:val="en-US"/>
        </w:rPr>
        <w:lastRenderedPageBreak/>
        <w:t xml:space="preserve">of thought may change, Lovejoy’s unit-ideas are ultimately stable and coherent across time. As such, the historian’s task is to uncover these perennially existing unit-ideas and understand how they relate together to form the overall intellectual system under investigation. </w:t>
      </w:r>
    </w:p>
    <w:p w14:paraId="1F10DA8B" w14:textId="5AFDE1FA" w:rsidR="0090120A" w:rsidRPr="00765407" w:rsidRDefault="0090120A" w:rsidP="00FA5791">
      <w:pPr>
        <w:spacing w:line="360" w:lineRule="auto"/>
        <w:jc w:val="both"/>
        <w:rPr>
          <w:rFonts w:ascii="Garamond" w:hAnsi="Garamond"/>
        </w:rPr>
      </w:pPr>
      <w:r w:rsidRPr="00765407">
        <w:rPr>
          <w:rFonts w:ascii="Garamond" w:hAnsi="Garamond"/>
          <w:lang w:val="en-US"/>
        </w:rPr>
        <w:tab/>
        <w:t>As critics have argued, Lovejoy’s assertation that there exist “persistent or recurrent” unit-ideas across history led historians to discount</w:t>
      </w:r>
      <w:r w:rsidR="000D4C41" w:rsidRPr="00765407">
        <w:rPr>
          <w:rFonts w:ascii="Garamond" w:hAnsi="Garamond"/>
          <w:lang w:val="en-US"/>
        </w:rPr>
        <w:t xml:space="preserve"> the messiness of political history i</w:t>
      </w:r>
      <w:r w:rsidRPr="00765407">
        <w:rPr>
          <w:rFonts w:ascii="Garamond" w:hAnsi="Garamond"/>
          <w:lang w:val="en-US"/>
        </w:rPr>
        <w:t xml:space="preserve">n </w:t>
      </w:r>
      <w:proofErr w:type="spellStart"/>
      <w:r w:rsidRPr="00765407">
        <w:rPr>
          <w:rFonts w:ascii="Garamond" w:hAnsi="Garamond"/>
          <w:lang w:val="en-US"/>
        </w:rPr>
        <w:t>favour</w:t>
      </w:r>
      <w:proofErr w:type="spellEnd"/>
      <w:r w:rsidRPr="00765407">
        <w:rPr>
          <w:rFonts w:ascii="Garamond" w:hAnsi="Garamond"/>
          <w:lang w:val="en-US"/>
        </w:rPr>
        <w:t xml:space="preserve"> of a basic set of unchanging unit-ideas</w:t>
      </w:r>
      <w:r w:rsidR="000D4C41" w:rsidRPr="00765407">
        <w:rPr>
          <w:rFonts w:ascii="Garamond" w:hAnsi="Garamond"/>
          <w:lang w:val="en-US"/>
        </w:rPr>
        <w:t xml:space="preserve"> articulated in across various texts</w:t>
      </w:r>
      <w:r w:rsidRPr="00765407">
        <w:rPr>
          <w:rFonts w:ascii="Garamond" w:hAnsi="Garamond"/>
          <w:lang w:val="en-US"/>
        </w:rPr>
        <w:t>.</w:t>
      </w:r>
      <w:r w:rsidRPr="00765407">
        <w:rPr>
          <w:rStyle w:val="FootnoteReference"/>
          <w:rFonts w:ascii="Garamond" w:hAnsi="Garamond"/>
          <w:lang w:val="en-US"/>
        </w:rPr>
        <w:t xml:space="preserve"> </w:t>
      </w:r>
      <w:r w:rsidRPr="00765407">
        <w:rPr>
          <w:rStyle w:val="FootnoteReference"/>
          <w:rFonts w:ascii="Garamond" w:hAnsi="Garamond"/>
          <w:lang w:val="en-US"/>
        </w:rPr>
        <w:footnoteReference w:id="4"/>
      </w:r>
      <w:r w:rsidRPr="00765407">
        <w:rPr>
          <w:rFonts w:ascii="Garamond" w:hAnsi="Garamond"/>
          <w:lang w:val="en-US"/>
        </w:rPr>
        <w:t xml:space="preserve"> In portraying ideas as mental phenomena independent from </w:t>
      </w:r>
      <w:r w:rsidR="000D4C41" w:rsidRPr="00765407">
        <w:rPr>
          <w:rFonts w:ascii="Garamond" w:hAnsi="Garamond"/>
          <w:lang w:val="en-US"/>
        </w:rPr>
        <w:t xml:space="preserve">a </w:t>
      </w:r>
      <w:r w:rsidRPr="00765407">
        <w:rPr>
          <w:rFonts w:ascii="Garamond" w:hAnsi="Garamond"/>
          <w:lang w:val="en-US"/>
        </w:rPr>
        <w:t>changing historical context, Lovejoy’s methodological principles meant that the history of ideas took flight from the empirical and ultimately had difficulty accounting for novelty in history. It was not until the mid-20</w:t>
      </w:r>
      <w:r w:rsidRPr="00765407">
        <w:rPr>
          <w:rFonts w:ascii="Garamond" w:hAnsi="Garamond"/>
          <w:vertAlign w:val="superscript"/>
          <w:lang w:val="en-US"/>
        </w:rPr>
        <w:t>th</w:t>
      </w:r>
      <w:r w:rsidRPr="00765407">
        <w:rPr>
          <w:rFonts w:ascii="Garamond" w:hAnsi="Garamond"/>
          <w:lang w:val="en-US"/>
        </w:rPr>
        <w:t xml:space="preserve"> century when Marxist historiographers rethought the relationship between the ideational and the material that the study of empirical history would prove central to any account of intellectual history. Exemplary of this Marxist intervention, Christopher Hill’s </w:t>
      </w:r>
      <w:r w:rsidRPr="00765407">
        <w:rPr>
          <w:rFonts w:ascii="Garamond" w:hAnsi="Garamond"/>
          <w:i/>
          <w:iCs/>
          <w:lang w:val="en-US"/>
        </w:rPr>
        <w:t xml:space="preserve">Intellectual Origins of the English Revolution </w:t>
      </w:r>
      <w:r w:rsidRPr="00765407">
        <w:rPr>
          <w:rFonts w:ascii="Garamond" w:hAnsi="Garamond"/>
          <w:lang w:val="en-US"/>
        </w:rPr>
        <w:t>takes historical discontinuity as its point of departure. Pointing to the historical ruptured marked by the first juridically sanctioned regicide in 17</w:t>
      </w:r>
      <w:r w:rsidRPr="00765407">
        <w:rPr>
          <w:rFonts w:ascii="Garamond" w:hAnsi="Garamond"/>
          <w:vertAlign w:val="superscript"/>
          <w:lang w:val="en-US"/>
        </w:rPr>
        <w:t>th</w:t>
      </w:r>
      <w:r w:rsidRPr="00765407">
        <w:rPr>
          <w:rFonts w:ascii="Garamond" w:hAnsi="Garamond"/>
          <w:lang w:val="en-US"/>
        </w:rPr>
        <w:t xml:space="preserve"> century Europe, Hill argued that the English Revolution was a novel event that laid the theoretical foundations for the democratic revolutions of the 18</w:t>
      </w:r>
      <w:r w:rsidRPr="00765407">
        <w:rPr>
          <w:rFonts w:ascii="Garamond" w:hAnsi="Garamond"/>
          <w:vertAlign w:val="superscript"/>
          <w:lang w:val="en-US"/>
        </w:rPr>
        <w:t>th</w:t>
      </w:r>
      <w:r w:rsidRPr="00765407">
        <w:rPr>
          <w:rFonts w:ascii="Garamond" w:hAnsi="Garamond"/>
          <w:lang w:val="en-US"/>
        </w:rPr>
        <w:t xml:space="preserve"> century.</w:t>
      </w:r>
      <w:r w:rsidRPr="00765407">
        <w:rPr>
          <w:rStyle w:val="FootnoteReference"/>
          <w:rFonts w:ascii="Garamond" w:hAnsi="Garamond"/>
          <w:lang w:val="en-US"/>
        </w:rPr>
        <w:footnoteReference w:id="5"/>
      </w:r>
      <w:r w:rsidRPr="00765407">
        <w:rPr>
          <w:rFonts w:ascii="Garamond" w:hAnsi="Garamond"/>
          <w:lang w:val="en-US"/>
        </w:rPr>
        <w:t xml:space="preserve"> Rejecting Lovejoy’s presumption of perennial ideas in </w:t>
      </w:r>
      <w:proofErr w:type="spellStart"/>
      <w:r w:rsidRPr="00765407">
        <w:rPr>
          <w:rFonts w:ascii="Garamond" w:hAnsi="Garamond"/>
          <w:lang w:val="en-US"/>
        </w:rPr>
        <w:t>favour</w:t>
      </w:r>
      <w:proofErr w:type="spellEnd"/>
      <w:r w:rsidRPr="00765407">
        <w:rPr>
          <w:rFonts w:ascii="Garamond" w:hAnsi="Garamond"/>
          <w:lang w:val="en-US"/>
        </w:rPr>
        <w:t xml:space="preserve"> of historical discontinuity, Hill contended that historians cannot study ideas abstracted from their historical context. Yet, Hill also rejected a crude sociological Marxism that </w:t>
      </w:r>
      <w:proofErr w:type="gramStart"/>
      <w:r w:rsidRPr="00765407">
        <w:rPr>
          <w:rFonts w:ascii="Garamond" w:hAnsi="Garamond"/>
          <w:lang w:val="en-US"/>
        </w:rPr>
        <w:t>claimed</w:t>
      </w:r>
      <w:proofErr w:type="gramEnd"/>
      <w:r w:rsidRPr="00765407">
        <w:rPr>
          <w:rFonts w:ascii="Garamond" w:hAnsi="Garamond"/>
          <w:lang w:val="en-US"/>
        </w:rPr>
        <w:t xml:space="preserve"> “</w:t>
      </w:r>
      <w:r w:rsidRPr="00765407">
        <w:rPr>
          <w:rFonts w:ascii="Garamond" w:eastAsia="Times New Roman" w:hAnsi="Garamond" w:cs="Arial"/>
        </w:rPr>
        <w:t>men’s ideas were merely a pale reflection of their economic needs, with no history of their own.”</w:t>
      </w:r>
      <w:r w:rsidRPr="00765407">
        <w:rPr>
          <w:rStyle w:val="FootnoteReference"/>
          <w:rFonts w:ascii="Garamond" w:eastAsia="Times New Roman" w:hAnsi="Garamond" w:cs="Arial"/>
        </w:rPr>
        <w:footnoteReference w:id="6"/>
      </w:r>
      <w:r w:rsidRPr="00765407">
        <w:rPr>
          <w:rFonts w:ascii="Garamond" w:eastAsia="Times New Roman" w:hAnsi="Garamond" w:cs="Arial"/>
        </w:rPr>
        <w:t xml:space="preserve"> </w:t>
      </w:r>
      <w:r w:rsidRPr="00765407">
        <w:rPr>
          <w:rFonts w:ascii="Garamond" w:hAnsi="Garamond"/>
          <w:lang w:val="en-US"/>
        </w:rPr>
        <w:t xml:space="preserve">Novel political events required novel ideas, he argued, because </w:t>
      </w:r>
      <w:r w:rsidRPr="00765407">
        <w:rPr>
          <w:rFonts w:ascii="Garamond" w:hAnsi="Garamond"/>
        </w:rPr>
        <w:t>“a great revolution cannot take place without ideas.”</w:t>
      </w:r>
      <w:r w:rsidRPr="00765407">
        <w:rPr>
          <w:rStyle w:val="FootnoteReference"/>
          <w:rFonts w:ascii="Garamond" w:hAnsi="Garamond"/>
        </w:rPr>
        <w:footnoteReference w:id="7"/>
      </w:r>
      <w:r w:rsidRPr="00765407">
        <w:rPr>
          <w:rFonts w:ascii="Garamond" w:hAnsi="Garamond"/>
        </w:rPr>
        <w:t xml:space="preserve"> But how exactly did Hill understand the relationship between revolutionary acts and revolutionary ideas?</w:t>
      </w:r>
    </w:p>
    <w:p w14:paraId="649CBF84" w14:textId="6EE2C654" w:rsidR="0090120A" w:rsidRPr="00765407" w:rsidRDefault="0090120A" w:rsidP="00FA5791">
      <w:pPr>
        <w:spacing w:line="360" w:lineRule="auto"/>
        <w:ind w:firstLine="720"/>
        <w:jc w:val="both"/>
        <w:rPr>
          <w:rFonts w:ascii="Garamond" w:hAnsi="Garamond"/>
        </w:rPr>
      </w:pPr>
      <w:r w:rsidRPr="00765407">
        <w:rPr>
          <w:rFonts w:ascii="Garamond" w:hAnsi="Garamond"/>
          <w:lang w:val="en-US"/>
        </w:rPr>
        <w:t>The historian of ideas, Hill writes, “</w:t>
      </w:r>
      <w:r w:rsidRPr="00765407">
        <w:rPr>
          <w:rFonts w:ascii="Garamond" w:eastAsia="Times New Roman" w:hAnsi="Garamond" w:cs="Arial"/>
        </w:rPr>
        <w:t>must attach equal importance to the circumstances that gave these ideas their chance. Revolutions are not made without ideas, but they are not made by intellectuals. Steam is essential to driving a railway engine; but neither a locomotive nor a permanent way can be built out of steam.”</w:t>
      </w:r>
      <w:r w:rsidRPr="00765407">
        <w:rPr>
          <w:rStyle w:val="FootnoteReference"/>
          <w:rFonts w:ascii="Garamond" w:eastAsia="Times New Roman" w:hAnsi="Garamond" w:cs="Arial"/>
        </w:rPr>
        <w:footnoteReference w:id="8"/>
      </w:r>
      <w:r w:rsidRPr="00765407">
        <w:rPr>
          <w:rFonts w:ascii="Garamond" w:eastAsia="Times New Roman" w:hAnsi="Garamond" w:cs="Arial"/>
        </w:rPr>
        <w:t xml:space="preserve"> Just as steam cannot build a train or the path of its tracks, neither can an idea build a revolutionary movement. Yet, just as steam can drive an engine, so too can ideas drive people to act. </w:t>
      </w:r>
      <w:r w:rsidR="000D4C41" w:rsidRPr="00765407">
        <w:rPr>
          <w:rFonts w:ascii="Garamond" w:hAnsi="Garamond"/>
        </w:rPr>
        <w:t xml:space="preserve">Hill attends </w:t>
      </w:r>
      <w:r w:rsidRPr="00765407">
        <w:rPr>
          <w:rFonts w:ascii="Garamond" w:hAnsi="Garamond"/>
        </w:rPr>
        <w:t>to how thinkers of various classes justified their activities by studying the inner logic and philosophical rationality of their ideas</w:t>
      </w:r>
      <w:r w:rsidR="000D4C41" w:rsidRPr="00765407">
        <w:rPr>
          <w:rFonts w:ascii="Garamond" w:hAnsi="Garamond"/>
        </w:rPr>
        <w:t xml:space="preserve">. His </w:t>
      </w:r>
      <w:r w:rsidRPr="00765407">
        <w:rPr>
          <w:rFonts w:ascii="Garamond" w:hAnsi="Garamond"/>
        </w:rPr>
        <w:t xml:space="preserve">approach to intellectual history suggests that </w:t>
      </w:r>
      <w:r w:rsidR="000D4C41" w:rsidRPr="00765407">
        <w:rPr>
          <w:rFonts w:ascii="Garamond" w:hAnsi="Garamond"/>
        </w:rPr>
        <w:t xml:space="preserve">political </w:t>
      </w:r>
      <w:r w:rsidRPr="00765407">
        <w:rPr>
          <w:rFonts w:ascii="Garamond" w:hAnsi="Garamond"/>
        </w:rPr>
        <w:t xml:space="preserve">actors must first be philosophically convinced </w:t>
      </w:r>
      <w:r w:rsidR="00CC6603" w:rsidRPr="00765407">
        <w:rPr>
          <w:rFonts w:ascii="Garamond" w:hAnsi="Garamond"/>
        </w:rPr>
        <w:t xml:space="preserve">and </w:t>
      </w:r>
      <w:r w:rsidR="00CC6603" w:rsidRPr="00765407">
        <w:rPr>
          <w:rFonts w:ascii="Garamond" w:hAnsi="Garamond"/>
        </w:rPr>
        <w:lastRenderedPageBreak/>
        <w:t xml:space="preserve">ideationally persuaded </w:t>
      </w:r>
      <w:r w:rsidRPr="00765407">
        <w:rPr>
          <w:rFonts w:ascii="Garamond" w:hAnsi="Garamond"/>
        </w:rPr>
        <w:t>before undertaking revolutionary action.</w:t>
      </w:r>
      <w:r w:rsidRPr="00765407">
        <w:rPr>
          <w:rStyle w:val="FootnoteReference"/>
          <w:rFonts w:ascii="Garamond" w:eastAsia="Times New Roman" w:hAnsi="Garamond" w:cs="Arial"/>
        </w:rPr>
        <w:t xml:space="preserve"> </w:t>
      </w:r>
      <w:r w:rsidRPr="00765407">
        <w:rPr>
          <w:rStyle w:val="FootnoteReference"/>
          <w:rFonts w:ascii="Garamond" w:eastAsia="Times New Roman" w:hAnsi="Garamond" w:cs="Arial"/>
        </w:rPr>
        <w:footnoteReference w:id="9"/>
      </w:r>
      <w:r w:rsidRPr="00765407">
        <w:rPr>
          <w:rFonts w:ascii="Garamond" w:hAnsi="Garamond"/>
        </w:rPr>
        <w:t xml:space="preserve"> After all, “</w:t>
      </w:r>
      <w:r w:rsidRPr="00765407">
        <w:rPr>
          <w:rFonts w:ascii="Garamond" w:eastAsia="Times New Roman" w:hAnsi="Garamond" w:cs="Arial"/>
        </w:rPr>
        <w:t>Most men have to believe quite strongly in some ideal before they will kill or be killed.</w:t>
      </w:r>
      <w:r w:rsidRPr="00765407">
        <w:rPr>
          <w:rFonts w:ascii="Garamond" w:hAnsi="Garamond"/>
        </w:rPr>
        <w:t>”</w:t>
      </w:r>
      <w:r w:rsidRPr="00765407">
        <w:rPr>
          <w:rStyle w:val="FootnoteReference"/>
          <w:rFonts w:ascii="Garamond" w:hAnsi="Garamond"/>
        </w:rPr>
        <w:footnoteReference w:id="10"/>
      </w:r>
      <w:r w:rsidRPr="00765407">
        <w:rPr>
          <w:rFonts w:ascii="Garamond" w:hAnsi="Garamond"/>
        </w:rPr>
        <w:t xml:space="preserve"> To study the history of revolutionary thought is to study the “ways in which minds were being prepared” to justify revolutionary action.</w:t>
      </w:r>
      <w:r w:rsidRPr="00765407">
        <w:rPr>
          <w:rStyle w:val="FootnoteReference"/>
          <w:rFonts w:ascii="Garamond" w:hAnsi="Garamond"/>
        </w:rPr>
        <w:footnoteReference w:id="11"/>
      </w:r>
      <w:r w:rsidRPr="00765407">
        <w:rPr>
          <w:rFonts w:ascii="Garamond" w:hAnsi="Garamond"/>
        </w:rPr>
        <w:t xml:space="preserve"> </w:t>
      </w:r>
      <w:r w:rsidR="00D6109C">
        <w:rPr>
          <w:rFonts w:ascii="Garamond" w:hAnsi="Garamond"/>
        </w:rPr>
        <w:t>According to Hill,</w:t>
      </w:r>
      <w:r w:rsidRPr="00765407">
        <w:rPr>
          <w:rFonts w:ascii="Garamond" w:hAnsi="Garamond"/>
        </w:rPr>
        <w:t xml:space="preserve"> a revolution cannot take place without revolutionary ideas because ideas provide the justificatory context for revolutionary action and it is this philosophical justification, </w:t>
      </w:r>
      <w:r w:rsidR="00D6109C">
        <w:rPr>
          <w:rFonts w:ascii="Garamond" w:hAnsi="Garamond"/>
        </w:rPr>
        <w:t>he</w:t>
      </w:r>
      <w:r w:rsidRPr="00765407">
        <w:rPr>
          <w:rFonts w:ascii="Garamond" w:hAnsi="Garamond"/>
        </w:rPr>
        <w:t xml:space="preserve"> suggests, that moves individuals to act</w:t>
      </w:r>
      <w:r w:rsidRPr="00765407">
        <w:rPr>
          <w:rFonts w:ascii="Garamond" w:eastAsia="Times New Roman" w:hAnsi="Garamond" w:cs="Arial"/>
        </w:rPr>
        <w:t>.</w:t>
      </w:r>
    </w:p>
    <w:p w14:paraId="6C6C0D8E" w14:textId="77777777" w:rsidR="0090120A" w:rsidRPr="00765407" w:rsidRDefault="0090120A" w:rsidP="00FA5791">
      <w:pPr>
        <w:spacing w:line="360" w:lineRule="auto"/>
        <w:ind w:firstLine="720"/>
        <w:jc w:val="both"/>
        <w:rPr>
          <w:rFonts w:ascii="Garamond" w:hAnsi="Garamond"/>
        </w:rPr>
      </w:pPr>
      <w:r w:rsidRPr="00765407">
        <w:rPr>
          <w:rFonts w:ascii="Garamond" w:hAnsi="Garamond"/>
        </w:rPr>
        <w:t>In his 11</w:t>
      </w:r>
      <w:r w:rsidRPr="00765407">
        <w:rPr>
          <w:rFonts w:ascii="Garamond" w:hAnsi="Garamond"/>
          <w:vertAlign w:val="superscript"/>
        </w:rPr>
        <w:t>th</w:t>
      </w:r>
      <w:r w:rsidRPr="00765407">
        <w:rPr>
          <w:rFonts w:ascii="Garamond" w:hAnsi="Garamond"/>
        </w:rPr>
        <w:t xml:space="preserve"> thesis on Feuerbach, Marx puts forward a distinction between the ideational activities of philosophers and the material action necessary to change the world. “Philosophers have only interpreted the world. The point is to change it.” In focusing on those classes that turned the world upside down,</w:t>
      </w:r>
      <w:r w:rsidRPr="00765407">
        <w:rPr>
          <w:rStyle w:val="FootnoteReference"/>
          <w:rFonts w:ascii="Garamond" w:hAnsi="Garamond"/>
        </w:rPr>
        <w:footnoteReference w:id="12"/>
      </w:r>
      <w:r w:rsidRPr="00765407">
        <w:rPr>
          <w:rFonts w:ascii="Garamond" w:hAnsi="Garamond"/>
        </w:rPr>
        <w:t xml:space="preserve"> Hill shows how understanding those who changed the world requires understanding how they interpreted the world. </w:t>
      </w:r>
      <w:r w:rsidRPr="00765407">
        <w:rPr>
          <w:rFonts w:ascii="Garamond" w:eastAsia="Times New Roman" w:hAnsi="Garamond" w:cs="Arial"/>
        </w:rPr>
        <w:t xml:space="preserve">Despite his attention to historical context, however, Hill’s method remains committed to a mentalist picture of ideas. By focusing on the philosophical logic of arguments articulated in political texts, Hill aims to reveal </w:t>
      </w:r>
      <w:r w:rsidRPr="00765407">
        <w:rPr>
          <w:rFonts w:ascii="Garamond" w:hAnsi="Garamond"/>
        </w:rPr>
        <w:t xml:space="preserve">the rational grounds of belief that enabled subjects to justify their actions. In doing so, Hill’s methodology presumes a mind-body dualism that posits ideas as analytically distinct from and prior to the world of material action. Like </w:t>
      </w:r>
      <w:r w:rsidRPr="00765407">
        <w:rPr>
          <w:rFonts w:ascii="Garamond" w:eastAsia="Times New Roman" w:hAnsi="Garamond" w:cs="Arial"/>
        </w:rPr>
        <w:t xml:space="preserve">Lovejoy, Hill expresses a mentalist picture that locates ideas in the rational mind, </w:t>
      </w:r>
      <w:r w:rsidRPr="00765407">
        <w:rPr>
          <w:rFonts w:ascii="Garamond" w:hAnsi="Garamond"/>
        </w:rPr>
        <w:t>even if these are the historically contextual minds of different classes.</w:t>
      </w:r>
      <w:r w:rsidRPr="00765407">
        <w:rPr>
          <w:rFonts w:ascii="Garamond" w:eastAsia="Times New Roman" w:hAnsi="Garamond" w:cs="Arial"/>
        </w:rPr>
        <w:t xml:space="preserve"> As with Marx’s </w:t>
      </w:r>
      <w:r w:rsidRPr="00765407">
        <w:rPr>
          <w:rFonts w:ascii="Garamond" w:hAnsi="Garamond"/>
        </w:rPr>
        <w:t>11</w:t>
      </w:r>
      <w:r w:rsidRPr="00765407">
        <w:rPr>
          <w:rFonts w:ascii="Garamond" w:hAnsi="Garamond"/>
          <w:vertAlign w:val="superscript"/>
        </w:rPr>
        <w:t>th</w:t>
      </w:r>
      <w:r w:rsidRPr="00765407">
        <w:rPr>
          <w:rFonts w:ascii="Garamond" w:hAnsi="Garamond"/>
        </w:rPr>
        <w:t xml:space="preserve"> thesis, therefore, Hill’s methodology maintains a distinction between the philosopher’s act of interpretation and the revolutionary’s act of change. </w:t>
      </w:r>
    </w:p>
    <w:p w14:paraId="0851024A" w14:textId="49125D2A" w:rsidR="0090120A" w:rsidRPr="00765407" w:rsidRDefault="0090120A" w:rsidP="00FA5791">
      <w:pPr>
        <w:spacing w:line="360" w:lineRule="auto"/>
        <w:ind w:firstLine="720"/>
        <w:jc w:val="both"/>
        <w:rPr>
          <w:rFonts w:ascii="Garamond" w:eastAsia="Times New Roman" w:hAnsi="Garamond" w:cs="Arial"/>
        </w:rPr>
      </w:pPr>
      <w:r w:rsidRPr="00765407">
        <w:rPr>
          <w:rFonts w:ascii="Garamond" w:hAnsi="Garamond"/>
        </w:rPr>
        <w:t>By the latter half of the 20</w:t>
      </w:r>
      <w:r w:rsidRPr="00765407">
        <w:rPr>
          <w:rFonts w:ascii="Garamond" w:hAnsi="Garamond"/>
          <w:vertAlign w:val="superscript"/>
        </w:rPr>
        <w:t>th</w:t>
      </w:r>
      <w:r w:rsidRPr="00765407">
        <w:rPr>
          <w:rFonts w:ascii="Garamond" w:hAnsi="Garamond"/>
        </w:rPr>
        <w:t xml:space="preserve"> century, developments in the humanities and theoretically engaged social sciences would </w:t>
      </w:r>
      <w:r w:rsidR="00CC6603" w:rsidRPr="00765407">
        <w:rPr>
          <w:rFonts w:ascii="Garamond" w:hAnsi="Garamond"/>
        </w:rPr>
        <w:t xml:space="preserve">increasingly contest this </w:t>
      </w:r>
      <w:r w:rsidRPr="00765407">
        <w:rPr>
          <w:rFonts w:ascii="Garamond" w:hAnsi="Garamond"/>
        </w:rPr>
        <w:t xml:space="preserve">binary between the ideational and the material. </w:t>
      </w:r>
      <w:r w:rsidR="00CC6603" w:rsidRPr="00765407">
        <w:rPr>
          <w:rFonts w:ascii="Garamond" w:hAnsi="Garamond"/>
        </w:rPr>
        <w:t>S</w:t>
      </w:r>
      <w:r w:rsidRPr="00765407">
        <w:rPr>
          <w:rFonts w:ascii="Garamond" w:hAnsi="Garamond"/>
        </w:rPr>
        <w:t xml:space="preserve">everal intellectual historians nominally categorized as the Cambridge School </w:t>
      </w:r>
      <w:r w:rsidR="00D6109C">
        <w:rPr>
          <w:rFonts w:ascii="Garamond" w:hAnsi="Garamond"/>
        </w:rPr>
        <w:t xml:space="preserve">also </w:t>
      </w:r>
      <w:r w:rsidRPr="00765407">
        <w:rPr>
          <w:rFonts w:ascii="Garamond" w:hAnsi="Garamond"/>
        </w:rPr>
        <w:t>rejected</w:t>
      </w:r>
      <w:r w:rsidR="00D6109C">
        <w:rPr>
          <w:rFonts w:ascii="Garamond" w:hAnsi="Garamond"/>
        </w:rPr>
        <w:t xml:space="preserve"> </w:t>
      </w:r>
      <w:r w:rsidRPr="00765407">
        <w:rPr>
          <w:rFonts w:ascii="Garamond" w:hAnsi="Garamond"/>
        </w:rPr>
        <w:t>the belief in perennial ideas</w:t>
      </w:r>
      <w:r w:rsidR="00CC6603" w:rsidRPr="00765407">
        <w:rPr>
          <w:rFonts w:ascii="Garamond" w:hAnsi="Garamond"/>
        </w:rPr>
        <w:t xml:space="preserve">. But </w:t>
      </w:r>
      <w:r w:rsidRPr="00765407">
        <w:rPr>
          <w:rFonts w:ascii="Garamond" w:eastAsia="Times New Roman" w:hAnsi="Garamond" w:cs="Times New Roman"/>
        </w:rPr>
        <w:t>unlike their Marxian colleagues, these intellectual historian</w:t>
      </w:r>
      <w:r w:rsidR="00CC6603" w:rsidRPr="00765407">
        <w:rPr>
          <w:rFonts w:ascii="Garamond" w:eastAsia="Times New Roman" w:hAnsi="Garamond" w:cs="Times New Roman"/>
        </w:rPr>
        <w:t xml:space="preserve">s – </w:t>
      </w:r>
      <w:r w:rsidR="00CC6603" w:rsidRPr="00765407">
        <w:rPr>
          <w:rFonts w:ascii="Garamond" w:eastAsia="Times New Roman" w:hAnsi="Garamond" w:cs="Times New Roman"/>
        </w:rPr>
        <w:t>of which I will take Quentin Skinner to be exemplary</w:t>
      </w:r>
      <w:r w:rsidR="00CC6603" w:rsidRPr="00765407">
        <w:rPr>
          <w:rFonts w:ascii="Garamond" w:eastAsia="Times New Roman" w:hAnsi="Garamond" w:cs="Times New Roman"/>
        </w:rPr>
        <w:t xml:space="preserve"> –</w:t>
      </w:r>
      <w:r w:rsidRPr="00765407">
        <w:rPr>
          <w:rFonts w:ascii="Garamond" w:eastAsia="Times New Roman" w:hAnsi="Garamond" w:cs="Times New Roman"/>
        </w:rPr>
        <w:t xml:space="preserve"> did not accord primacy to economic class in the study of historical context. </w:t>
      </w:r>
      <w:r w:rsidR="00D6109C">
        <w:rPr>
          <w:rFonts w:ascii="Garamond" w:eastAsia="Times New Roman" w:hAnsi="Garamond" w:cs="Times New Roman"/>
        </w:rPr>
        <w:t xml:space="preserve">More importantly, they took </w:t>
      </w:r>
      <w:r w:rsidRPr="00765407">
        <w:rPr>
          <w:rFonts w:ascii="Garamond" w:eastAsia="Times New Roman" w:hAnsi="Garamond" w:cs="Times New Roman"/>
        </w:rPr>
        <w:t xml:space="preserve">inspiration from </w:t>
      </w:r>
      <w:r w:rsidRPr="00765407">
        <w:rPr>
          <w:rFonts w:ascii="Garamond" w:hAnsi="Garamond"/>
        </w:rPr>
        <w:t>what is often termed “the linguistic turn</w:t>
      </w:r>
      <w:r w:rsidR="00D6109C">
        <w:rPr>
          <w:rFonts w:ascii="Garamond" w:hAnsi="Garamond"/>
        </w:rPr>
        <w:t xml:space="preserve">” and </w:t>
      </w:r>
      <w:r w:rsidRPr="00765407">
        <w:rPr>
          <w:rFonts w:ascii="Garamond" w:hAnsi="Garamond"/>
        </w:rPr>
        <w:t>argued that ideas in history do not serve as rational justifications for action but rather are themselves a form of material action in the world.</w:t>
      </w:r>
    </w:p>
    <w:p w14:paraId="26D1948C" w14:textId="25E83B64" w:rsidR="0090120A" w:rsidRPr="00765407" w:rsidRDefault="0090120A" w:rsidP="00FA5791">
      <w:pPr>
        <w:spacing w:line="360" w:lineRule="auto"/>
        <w:ind w:firstLine="720"/>
        <w:jc w:val="both"/>
        <w:rPr>
          <w:rFonts w:ascii="Garamond" w:hAnsi="Garamond"/>
        </w:rPr>
      </w:pPr>
      <w:r w:rsidRPr="00765407">
        <w:rPr>
          <w:rFonts w:ascii="Garamond" w:eastAsia="Times New Roman" w:hAnsi="Garamond" w:cs="Times New Roman"/>
        </w:rPr>
        <w:t>I</w:t>
      </w:r>
      <w:r w:rsidRPr="00765407">
        <w:rPr>
          <w:rFonts w:ascii="Garamond" w:hAnsi="Garamond"/>
        </w:rPr>
        <w:t xml:space="preserve">nfluenced by Ludwig Wittgenstein’s </w:t>
      </w:r>
      <w:r w:rsidRPr="00765407">
        <w:rPr>
          <w:rFonts w:ascii="Garamond" w:eastAsia="Times New Roman" w:hAnsi="Garamond" w:cs="Times New Roman"/>
        </w:rPr>
        <w:t xml:space="preserve">insight that words are also deeds and by J. L. Austin’s theory of performative utterances, in the 1960s Quentin Skinner reconceptualized the agentic role of ideas in history. </w:t>
      </w:r>
      <w:r w:rsidRPr="00765407">
        <w:rPr>
          <w:rFonts w:ascii="Garamond" w:hAnsi="Garamond"/>
        </w:rPr>
        <w:t xml:space="preserve">Against the belief that the “leading motors of historical change will always be </w:t>
      </w:r>
      <w:r w:rsidRPr="00765407">
        <w:rPr>
          <w:rFonts w:ascii="Garamond" w:hAnsi="Garamond"/>
        </w:rPr>
        <w:lastRenderedPageBreak/>
        <w:t xml:space="preserve">fundamentally economic in character,” </w:t>
      </w:r>
      <w:r w:rsidRPr="00765407">
        <w:rPr>
          <w:rFonts w:ascii="Garamond" w:eastAsia="Times New Roman" w:hAnsi="Garamond" w:cs="Times New Roman"/>
        </w:rPr>
        <w:t>Skinner argued that political principles articulated in texts have an “independent explanatory role in accounting for the processes of social change.”</w:t>
      </w:r>
      <w:r w:rsidRPr="00765407">
        <w:rPr>
          <w:rStyle w:val="FootnoteReference"/>
          <w:rFonts w:ascii="Garamond" w:eastAsia="Times New Roman" w:hAnsi="Garamond" w:cs="Times New Roman"/>
        </w:rPr>
        <w:footnoteReference w:id="13"/>
      </w:r>
      <w:r w:rsidRPr="00765407">
        <w:rPr>
          <w:rFonts w:ascii="Garamond" w:eastAsia="Times New Roman" w:hAnsi="Garamond" w:cs="Times New Roman"/>
        </w:rPr>
        <w:t xml:space="preserve"> According to Skinner, every text is a speech-act in and for a particular context, and so the intellectual historian must “</w:t>
      </w:r>
      <w:r w:rsidRPr="00765407">
        <w:rPr>
          <w:rFonts w:ascii="Garamond" w:hAnsi="Garamond"/>
          <w:color w:val="000000" w:themeColor="text1"/>
        </w:rPr>
        <w:t xml:space="preserve">grasp not merely what people are saying but also what they are </w:t>
      </w:r>
      <w:r w:rsidRPr="00765407">
        <w:rPr>
          <w:rFonts w:ascii="Garamond" w:hAnsi="Garamond"/>
          <w:i/>
          <w:color w:val="000000" w:themeColor="text1"/>
        </w:rPr>
        <w:t xml:space="preserve">doing in </w:t>
      </w:r>
      <w:r w:rsidRPr="00765407">
        <w:rPr>
          <w:rFonts w:ascii="Garamond" w:hAnsi="Garamond"/>
          <w:color w:val="000000" w:themeColor="text1"/>
        </w:rPr>
        <w:t>saying it.”</w:t>
      </w:r>
      <w:r w:rsidRPr="00765407">
        <w:rPr>
          <w:rStyle w:val="FootnoteReference"/>
          <w:rFonts w:ascii="Garamond" w:hAnsi="Garamond"/>
          <w:color w:val="000000" w:themeColor="text1"/>
        </w:rPr>
        <w:footnoteReference w:id="14"/>
      </w:r>
      <w:r w:rsidRPr="00765407">
        <w:rPr>
          <w:rFonts w:ascii="Garamond" w:hAnsi="Garamond"/>
          <w:color w:val="000000" w:themeColor="text1"/>
        </w:rPr>
        <w:t xml:space="preserve"> By tracking the </w:t>
      </w:r>
      <w:r w:rsidRPr="00765407">
        <w:rPr>
          <w:rFonts w:ascii="Garamond" w:eastAsia="Times New Roman" w:hAnsi="Garamond" w:cs="Times New Roman"/>
        </w:rPr>
        <w:t>intervention of an idea-</w:t>
      </w:r>
      <w:r w:rsidRPr="00765407">
        <w:rPr>
          <w:rFonts w:ascii="Garamond" w:eastAsia="Times New Roman" w:hAnsi="Garamond" w:cs="Times New Roman"/>
          <w:i/>
          <w:iCs/>
        </w:rPr>
        <w:t>qua</w:t>
      </w:r>
      <w:r w:rsidRPr="00765407">
        <w:rPr>
          <w:rFonts w:ascii="Garamond" w:eastAsia="Times New Roman" w:hAnsi="Garamond" w:cs="Times New Roman"/>
        </w:rPr>
        <w:t xml:space="preserve">-speech-act in a particular linguistic context, the intellectual historian reveals how the textual utterance of an idea is in fact a </w:t>
      </w:r>
      <w:r w:rsidR="00D6109C">
        <w:rPr>
          <w:rFonts w:ascii="Garamond" w:eastAsia="Times New Roman" w:hAnsi="Garamond" w:cs="Times New Roman"/>
        </w:rPr>
        <w:t>political</w:t>
      </w:r>
      <w:r w:rsidRPr="00765407">
        <w:rPr>
          <w:rFonts w:ascii="Garamond" w:eastAsia="Times New Roman" w:hAnsi="Garamond" w:cs="Times New Roman"/>
        </w:rPr>
        <w:t xml:space="preserve"> </w:t>
      </w:r>
      <w:r w:rsidR="00D6109C">
        <w:rPr>
          <w:rFonts w:ascii="Garamond" w:eastAsia="Times New Roman" w:hAnsi="Garamond" w:cs="Times New Roman"/>
        </w:rPr>
        <w:t>act</w:t>
      </w:r>
      <w:r w:rsidRPr="00765407">
        <w:rPr>
          <w:rFonts w:ascii="Garamond" w:eastAsia="Times New Roman" w:hAnsi="Garamond" w:cs="Times New Roman"/>
        </w:rPr>
        <w:t>. As Skinner puts it, “Political thinking is not an activity that stands apart from politics but is part of politics itself.”</w:t>
      </w:r>
      <w:r w:rsidRPr="00765407">
        <w:rPr>
          <w:rStyle w:val="FootnoteReference"/>
          <w:rFonts w:ascii="Garamond" w:eastAsia="Times New Roman" w:hAnsi="Garamond" w:cs="Times New Roman"/>
        </w:rPr>
        <w:footnoteReference w:id="15"/>
      </w:r>
      <w:r w:rsidRPr="00765407">
        <w:rPr>
          <w:rFonts w:ascii="Garamond" w:eastAsia="Times New Roman" w:hAnsi="Garamond" w:cs="Times New Roman"/>
        </w:rPr>
        <w:t xml:space="preserve"> Ideas are not prior to and outside of the world of action but are themselves a form of action. A</w:t>
      </w:r>
      <w:r w:rsidRPr="00765407">
        <w:rPr>
          <w:rFonts w:ascii="Garamond" w:hAnsi="Garamond"/>
        </w:rPr>
        <w:t>gainst Marx’s 11</w:t>
      </w:r>
      <w:r w:rsidRPr="00765407">
        <w:rPr>
          <w:rFonts w:ascii="Garamond" w:hAnsi="Garamond"/>
          <w:vertAlign w:val="superscript"/>
        </w:rPr>
        <w:t>th</w:t>
      </w:r>
      <w:r w:rsidRPr="00765407">
        <w:rPr>
          <w:rFonts w:ascii="Garamond" w:hAnsi="Garamond"/>
        </w:rPr>
        <w:t xml:space="preserve"> thesis, then, </w:t>
      </w:r>
      <w:r w:rsidRPr="00765407">
        <w:rPr>
          <w:rFonts w:ascii="Garamond" w:eastAsia="Times New Roman" w:hAnsi="Garamond" w:cs="Times New Roman"/>
        </w:rPr>
        <w:t xml:space="preserve">Skinner </w:t>
      </w:r>
      <w:r w:rsidR="00D6109C">
        <w:rPr>
          <w:rFonts w:ascii="Garamond" w:eastAsia="Times New Roman" w:hAnsi="Garamond" w:cs="Times New Roman"/>
        </w:rPr>
        <w:t>argues</w:t>
      </w:r>
      <w:r w:rsidRPr="00765407">
        <w:rPr>
          <w:rFonts w:ascii="Garamond" w:eastAsia="Times New Roman" w:hAnsi="Garamond" w:cs="Times New Roman"/>
        </w:rPr>
        <w:t xml:space="preserve"> that </w:t>
      </w:r>
      <w:r w:rsidRPr="00765407">
        <w:rPr>
          <w:rFonts w:ascii="Garamond" w:hAnsi="Garamond"/>
        </w:rPr>
        <w:t xml:space="preserve">to interpret the world differently </w:t>
      </w:r>
      <w:r w:rsidRPr="00765407">
        <w:rPr>
          <w:rFonts w:ascii="Garamond" w:hAnsi="Garamond"/>
          <w:i/>
          <w:iCs/>
        </w:rPr>
        <w:t xml:space="preserve">is </w:t>
      </w:r>
      <w:r w:rsidRPr="00765407">
        <w:rPr>
          <w:rFonts w:ascii="Garamond" w:hAnsi="Garamond"/>
        </w:rPr>
        <w:t>to change it.</w:t>
      </w:r>
    </w:p>
    <w:p w14:paraId="513C7329" w14:textId="57D0FC3A" w:rsidR="0090120A" w:rsidRPr="00765407" w:rsidRDefault="0090120A" w:rsidP="00FA5791">
      <w:pPr>
        <w:spacing w:line="360" w:lineRule="auto"/>
        <w:ind w:firstLine="720"/>
        <w:jc w:val="both"/>
        <w:rPr>
          <w:rFonts w:ascii="Garamond" w:hAnsi="Garamond"/>
        </w:rPr>
      </w:pPr>
      <w:r w:rsidRPr="00765407">
        <w:rPr>
          <w:rFonts w:ascii="Garamond" w:hAnsi="Garamond"/>
        </w:rPr>
        <w:t>According to</w:t>
      </w:r>
      <w:r w:rsidR="009D1873">
        <w:rPr>
          <w:rFonts w:ascii="Garamond" w:hAnsi="Garamond"/>
        </w:rPr>
        <w:t xml:space="preserve"> what continues to be </w:t>
      </w:r>
      <w:r w:rsidRPr="00765407">
        <w:rPr>
          <w:rFonts w:ascii="Garamond" w:hAnsi="Garamond"/>
        </w:rPr>
        <w:t>intellectual histor</w:t>
      </w:r>
      <w:r w:rsidR="009D1873">
        <w:rPr>
          <w:rFonts w:ascii="Garamond" w:hAnsi="Garamond"/>
        </w:rPr>
        <w:t xml:space="preserve">y’s primary </w:t>
      </w:r>
      <w:r w:rsidRPr="00765407">
        <w:rPr>
          <w:rFonts w:ascii="Garamond" w:hAnsi="Garamond"/>
        </w:rPr>
        <w:t>methodolog</w:t>
      </w:r>
      <w:r w:rsidR="009D1873">
        <w:rPr>
          <w:rFonts w:ascii="Garamond" w:hAnsi="Garamond"/>
        </w:rPr>
        <w:t>y of interpretation</w:t>
      </w:r>
      <w:r w:rsidRPr="00765407">
        <w:rPr>
          <w:rFonts w:ascii="Garamond" w:hAnsi="Garamond"/>
        </w:rPr>
        <w:t xml:space="preserve">, ideas neither reflect the features of the world nor (merely) justify action in the world. Rather, ideas help constitute the world itself. Applied to the study of </w:t>
      </w:r>
      <w:r w:rsidR="009D1873">
        <w:rPr>
          <w:rFonts w:ascii="Garamond" w:hAnsi="Garamond"/>
        </w:rPr>
        <w:t>ideas</w:t>
      </w:r>
      <w:r w:rsidRPr="00765407">
        <w:rPr>
          <w:rFonts w:ascii="Garamond" w:hAnsi="Garamond"/>
        </w:rPr>
        <w:t>, a performative theory of speech-acts thus seems to undermine the binary between the material realm of action and the ideational realm of meaning. Yet, even as Skinner reconceptualizes texts as a form of action, his understanding of linguistic speech</w:t>
      </w:r>
      <w:r w:rsidR="009D1873">
        <w:rPr>
          <w:rFonts w:ascii="Garamond" w:hAnsi="Garamond"/>
        </w:rPr>
        <w:t>-</w:t>
      </w:r>
      <w:r w:rsidRPr="00765407">
        <w:rPr>
          <w:rFonts w:ascii="Garamond" w:hAnsi="Garamond"/>
        </w:rPr>
        <w:t xml:space="preserve">acts maintains a privileged relationship to </w:t>
      </w:r>
      <w:r w:rsidR="009D1873">
        <w:rPr>
          <w:rFonts w:ascii="Garamond" w:hAnsi="Garamond"/>
        </w:rPr>
        <w:t>political</w:t>
      </w:r>
      <w:r w:rsidRPr="00765407">
        <w:rPr>
          <w:rFonts w:ascii="Garamond" w:hAnsi="Garamond"/>
        </w:rPr>
        <w:t xml:space="preserve"> meanin</w:t>
      </w:r>
      <w:r w:rsidR="009D1873">
        <w:rPr>
          <w:rFonts w:ascii="Garamond" w:hAnsi="Garamond"/>
        </w:rPr>
        <w:t>g. F</w:t>
      </w:r>
      <w:r w:rsidRPr="00765407">
        <w:rPr>
          <w:rFonts w:ascii="Garamond" w:hAnsi="Garamond"/>
        </w:rPr>
        <w:t xml:space="preserve">ar from undermining a mind-body dualism, </w:t>
      </w:r>
      <w:r w:rsidR="009D1873">
        <w:rPr>
          <w:rFonts w:ascii="Garamond" w:hAnsi="Garamond"/>
        </w:rPr>
        <w:t xml:space="preserve">he ends up reifying </w:t>
      </w:r>
      <w:r w:rsidRPr="00765407">
        <w:rPr>
          <w:rFonts w:ascii="Garamond" w:hAnsi="Garamond"/>
        </w:rPr>
        <w:t>a mentalist conception of ideas.</w:t>
      </w:r>
      <w:r w:rsidR="009D1873">
        <w:rPr>
          <w:rFonts w:ascii="Garamond" w:hAnsi="Garamond"/>
        </w:rPr>
        <w:t xml:space="preserve"> Ideas </w:t>
      </w:r>
      <w:r w:rsidRPr="00765407">
        <w:rPr>
          <w:rFonts w:ascii="Garamond" w:hAnsi="Garamond"/>
        </w:rPr>
        <w:t xml:space="preserve">“help to construct” the world, </w:t>
      </w:r>
      <w:r w:rsidR="009D1873">
        <w:rPr>
          <w:rFonts w:ascii="Garamond" w:hAnsi="Garamond"/>
        </w:rPr>
        <w:t xml:space="preserve">Skinner argues, and </w:t>
      </w:r>
      <w:r w:rsidRPr="00765407">
        <w:rPr>
          <w:rFonts w:ascii="Garamond" w:hAnsi="Garamond"/>
        </w:rPr>
        <w:t xml:space="preserve">we </w:t>
      </w:r>
      <w:r w:rsidR="009D1873">
        <w:rPr>
          <w:rFonts w:ascii="Garamond" w:hAnsi="Garamond"/>
        </w:rPr>
        <w:t xml:space="preserve">can </w:t>
      </w:r>
      <w:r w:rsidRPr="00765407">
        <w:rPr>
          <w:rFonts w:ascii="Garamond" w:hAnsi="Garamond"/>
        </w:rPr>
        <w:t xml:space="preserve">understand how they do </w:t>
      </w:r>
      <w:proofErr w:type="gramStart"/>
      <w:r w:rsidRPr="00765407">
        <w:rPr>
          <w:rFonts w:ascii="Garamond" w:hAnsi="Garamond"/>
        </w:rPr>
        <w:t>so</w:t>
      </w:r>
      <w:proofErr w:type="gramEnd"/>
    </w:p>
    <w:p w14:paraId="77E45D31" w14:textId="53570F6D" w:rsidR="0090120A" w:rsidRPr="00765407" w:rsidRDefault="0090120A" w:rsidP="009D1873">
      <w:pPr>
        <w:spacing w:line="360" w:lineRule="auto"/>
        <w:ind w:left="720"/>
        <w:jc w:val="both"/>
        <w:rPr>
          <w:rFonts w:ascii="Garamond" w:eastAsia="Times New Roman" w:hAnsi="Garamond" w:cs="Times New Roman"/>
        </w:rPr>
      </w:pPr>
      <w:r w:rsidRPr="00765407">
        <w:rPr>
          <w:rFonts w:ascii="Garamond" w:eastAsia="Times New Roman" w:hAnsi="Garamond" w:cs="Times New Roman"/>
        </w:rPr>
        <w:t xml:space="preserve">as soon as we reflect on the crucial consideration that normally </w:t>
      </w:r>
      <w:r w:rsidRPr="00765407">
        <w:rPr>
          <w:rFonts w:ascii="Garamond" w:eastAsia="Times New Roman" w:hAnsi="Garamond" w:cs="Times New Roman"/>
          <w:i/>
          <w:iCs/>
        </w:rPr>
        <w:t>we can only hope to succeed in doing what we can manage to legitimize</w:t>
      </w:r>
      <w:r w:rsidRPr="00765407">
        <w:rPr>
          <w:rFonts w:ascii="Garamond" w:eastAsia="Times New Roman" w:hAnsi="Garamond" w:cs="Times New Roman"/>
        </w:rPr>
        <w:t xml:space="preserve">. As a result, we are generally committed to acting only in such ways as are compatible with the claim that we are motivated by our professed principles. But this in turn means that such principles will always have to be invoked when it comes to explaining our behavior. This is because </w:t>
      </w:r>
      <w:r w:rsidRPr="00765407">
        <w:rPr>
          <w:rFonts w:ascii="Garamond" w:eastAsia="Times New Roman" w:hAnsi="Garamond" w:cs="Times New Roman"/>
          <w:i/>
          <w:iCs/>
        </w:rPr>
        <w:t>our conduct will always in part be limited and directed by the need to legitimize what we are doing.</w:t>
      </w:r>
      <w:r w:rsidRPr="00765407">
        <w:rPr>
          <w:rFonts w:ascii="Garamond" w:eastAsia="Times New Roman" w:hAnsi="Garamond" w:cs="Times New Roman"/>
        </w:rPr>
        <w:t xml:space="preserve"> The explanation of what we are doing will therefore need to </w:t>
      </w:r>
      <w:proofErr w:type="gramStart"/>
      <w:r w:rsidRPr="00765407">
        <w:rPr>
          <w:rFonts w:ascii="Garamond" w:eastAsia="Times New Roman" w:hAnsi="Garamond" w:cs="Times New Roman"/>
        </w:rPr>
        <w:t>make reference</w:t>
      </w:r>
      <w:proofErr w:type="gramEnd"/>
      <w:r w:rsidRPr="00765407">
        <w:rPr>
          <w:rFonts w:ascii="Garamond" w:eastAsia="Times New Roman" w:hAnsi="Garamond" w:cs="Times New Roman"/>
        </w:rPr>
        <w:t xml:space="preserve"> to the principles in the light of which we seek to legitimize our behavior.</w:t>
      </w:r>
      <w:r w:rsidRPr="00765407">
        <w:rPr>
          <w:rStyle w:val="FootnoteReference"/>
          <w:rFonts w:ascii="Garamond" w:eastAsia="Times New Roman" w:hAnsi="Garamond" w:cs="Times New Roman"/>
        </w:rPr>
        <w:footnoteReference w:id="16"/>
      </w:r>
    </w:p>
    <w:p w14:paraId="0ED81983" w14:textId="3E3F86F3" w:rsidR="0090120A" w:rsidRPr="00765407" w:rsidRDefault="0090120A" w:rsidP="00FA5791">
      <w:pPr>
        <w:spacing w:line="360" w:lineRule="auto"/>
        <w:jc w:val="both"/>
        <w:rPr>
          <w:rFonts w:ascii="Garamond" w:eastAsia="Times New Roman" w:hAnsi="Garamond" w:cs="Times New Roman"/>
        </w:rPr>
      </w:pPr>
      <w:r w:rsidRPr="00765407">
        <w:rPr>
          <w:rFonts w:ascii="Garamond" w:eastAsia="Times New Roman" w:hAnsi="Garamond" w:cs="Times New Roman"/>
        </w:rPr>
        <w:t>According to Skinner, ideas-</w:t>
      </w:r>
      <w:r w:rsidRPr="00765407">
        <w:rPr>
          <w:rFonts w:ascii="Garamond" w:eastAsia="Times New Roman" w:hAnsi="Garamond" w:cs="Times New Roman"/>
          <w:i/>
          <w:iCs/>
        </w:rPr>
        <w:t>qua</w:t>
      </w:r>
      <w:r w:rsidRPr="00765407">
        <w:rPr>
          <w:rFonts w:ascii="Garamond" w:eastAsia="Times New Roman" w:hAnsi="Garamond" w:cs="Times New Roman"/>
        </w:rPr>
        <w:t>-speech-acts shape the world by creating the horizon of meaning within which action can be legitimized. While Skinner’s language of legitimacy may seem to echo Hill’s arguments about justification, speech-acts for Skinner render what we do normatively thinkable and thus doable. Ideas do not justify action so much as create their horizon of intelligibility and thus make action possible in the first place. In distinguishing linguistic from non-</w:t>
      </w:r>
      <w:r w:rsidRPr="00765407">
        <w:rPr>
          <w:rFonts w:ascii="Garamond" w:eastAsia="Times New Roman" w:hAnsi="Garamond" w:cs="Times New Roman"/>
        </w:rPr>
        <w:lastRenderedPageBreak/>
        <w:t xml:space="preserve">linguistic action, Skinner accords primacy to the former </w:t>
      </w:r>
      <w:proofErr w:type="gramStart"/>
      <w:r w:rsidRPr="00765407">
        <w:rPr>
          <w:rFonts w:ascii="Garamond" w:eastAsia="Times New Roman" w:hAnsi="Garamond" w:cs="Times New Roman"/>
        </w:rPr>
        <w:t>in order to</w:t>
      </w:r>
      <w:proofErr w:type="gramEnd"/>
      <w:r w:rsidRPr="00765407">
        <w:rPr>
          <w:rFonts w:ascii="Garamond" w:eastAsia="Times New Roman" w:hAnsi="Garamond" w:cs="Times New Roman"/>
        </w:rPr>
        <w:t xml:space="preserve"> make the latter possible.</w:t>
      </w:r>
      <w:r w:rsidR="00CC6603" w:rsidRPr="00765407">
        <w:rPr>
          <w:rFonts w:ascii="Garamond" w:eastAsia="Times New Roman" w:hAnsi="Garamond" w:cs="Times New Roman"/>
        </w:rPr>
        <w:t xml:space="preserve"> Speech-acts are a form of action that makes material action </w:t>
      </w:r>
      <w:r w:rsidR="009D1873">
        <w:rPr>
          <w:rFonts w:ascii="Garamond" w:eastAsia="Times New Roman" w:hAnsi="Garamond" w:cs="Times New Roman"/>
        </w:rPr>
        <w:t xml:space="preserve">thinkable and so </w:t>
      </w:r>
      <w:r w:rsidR="009D1873" w:rsidRPr="00765407">
        <w:rPr>
          <w:rFonts w:ascii="Garamond" w:eastAsia="Times New Roman" w:hAnsi="Garamond" w:cs="Times New Roman"/>
        </w:rPr>
        <w:t>doable</w:t>
      </w:r>
      <w:r w:rsidR="00CC6603" w:rsidRPr="00765407">
        <w:rPr>
          <w:rFonts w:ascii="Garamond" w:eastAsia="Times New Roman" w:hAnsi="Garamond" w:cs="Times New Roman"/>
        </w:rPr>
        <w:t>.</w:t>
      </w:r>
      <w:r w:rsidRPr="00765407">
        <w:rPr>
          <w:rFonts w:ascii="Garamond" w:eastAsia="Times New Roman" w:hAnsi="Garamond" w:cs="Times New Roman"/>
        </w:rPr>
        <w:t xml:space="preserve"> Only speech-acts</w:t>
      </w:r>
      <w:r w:rsidR="009D1873">
        <w:rPr>
          <w:rFonts w:ascii="Garamond" w:eastAsia="Times New Roman" w:hAnsi="Garamond" w:cs="Times New Roman"/>
        </w:rPr>
        <w:t>, it seems,</w:t>
      </w:r>
      <w:r w:rsidRPr="00765407">
        <w:rPr>
          <w:rFonts w:ascii="Garamond" w:eastAsia="Times New Roman" w:hAnsi="Garamond" w:cs="Times New Roman"/>
        </w:rPr>
        <w:t xml:space="preserve"> have the power to create the principles of meaning and legitimacy that “will always have to be invoked when it comes to explaining our behaviour.” </w:t>
      </w:r>
      <w:r w:rsidR="00CC6603" w:rsidRPr="00765407">
        <w:rPr>
          <w:rFonts w:ascii="Garamond" w:eastAsia="Times New Roman" w:hAnsi="Garamond" w:cs="Times New Roman"/>
        </w:rPr>
        <w:t>In Skinner’s account</w:t>
      </w:r>
      <w:r w:rsidRPr="00765407">
        <w:rPr>
          <w:rFonts w:ascii="Garamond" w:eastAsia="Times New Roman" w:hAnsi="Garamond" w:cs="Times New Roman"/>
        </w:rPr>
        <w:t xml:space="preserve">, the rest of our non-linguistic conduct </w:t>
      </w:r>
      <w:r w:rsidR="009D1873">
        <w:rPr>
          <w:rFonts w:ascii="Garamond" w:eastAsia="Times New Roman" w:hAnsi="Garamond" w:cs="Times New Roman"/>
        </w:rPr>
        <w:t>appears</w:t>
      </w:r>
      <w:r w:rsidRPr="00765407">
        <w:rPr>
          <w:rFonts w:ascii="Garamond" w:eastAsia="Times New Roman" w:hAnsi="Garamond" w:cs="Times New Roman"/>
        </w:rPr>
        <w:t xml:space="preserve"> to be ideationally imponent. Not only do the body’s activities require these legitimizing principles to get off the ground, since the principles generated by speech </w:t>
      </w:r>
      <w:r w:rsidR="00CC6603" w:rsidRPr="00765407">
        <w:rPr>
          <w:rFonts w:ascii="Garamond" w:eastAsia="Times New Roman" w:hAnsi="Garamond" w:cs="Times New Roman"/>
        </w:rPr>
        <w:t xml:space="preserve">both </w:t>
      </w:r>
      <w:r w:rsidRPr="00765407">
        <w:rPr>
          <w:rFonts w:ascii="Garamond" w:eastAsia="Times New Roman" w:hAnsi="Garamond" w:cs="Times New Roman"/>
        </w:rPr>
        <w:t xml:space="preserve">“limit” and “direct” its conduct. But more importantly, the body’s actions are themselves unable to generate these normative principles. </w:t>
      </w:r>
      <w:r w:rsidR="009D1873">
        <w:rPr>
          <w:rFonts w:ascii="Garamond" w:eastAsia="Times New Roman" w:hAnsi="Garamond" w:cs="Times New Roman"/>
        </w:rPr>
        <w:t>T</w:t>
      </w:r>
      <w:r w:rsidRPr="00765407">
        <w:rPr>
          <w:rFonts w:ascii="Garamond" w:eastAsia="Times New Roman" w:hAnsi="Garamond" w:cs="Times New Roman"/>
        </w:rPr>
        <w:t xml:space="preserve">he non-linguistic activities of the body remain mute, lacking any power of signification. </w:t>
      </w:r>
    </w:p>
    <w:p w14:paraId="1357820C" w14:textId="416E6603" w:rsidR="0090120A" w:rsidRPr="00765407" w:rsidRDefault="0090120A" w:rsidP="00FA5791">
      <w:pPr>
        <w:spacing w:line="360" w:lineRule="auto"/>
        <w:ind w:firstLine="720"/>
        <w:jc w:val="both"/>
        <w:rPr>
          <w:rFonts w:ascii="Garamond" w:eastAsia="Times New Roman" w:hAnsi="Garamond" w:cs="Times New Roman"/>
        </w:rPr>
      </w:pPr>
      <w:r w:rsidRPr="00765407">
        <w:rPr>
          <w:rFonts w:ascii="Garamond" w:eastAsia="Times New Roman" w:hAnsi="Garamond" w:cs="Times New Roman"/>
        </w:rPr>
        <w:t xml:space="preserve">It has become a readily accepted principle among historians of thought that, like bodily action, discourse is an activity with material effects in the world. Far from undermining the distinction between the ideational and the material, however, </w:t>
      </w:r>
      <w:r w:rsidR="007146F4">
        <w:rPr>
          <w:rFonts w:ascii="Garamond" w:eastAsia="Times New Roman" w:hAnsi="Garamond" w:cs="Times New Roman"/>
        </w:rPr>
        <w:t>a popular</w:t>
      </w:r>
      <w:r w:rsidRPr="00765407">
        <w:rPr>
          <w:rFonts w:ascii="Garamond" w:eastAsia="Times New Roman" w:hAnsi="Garamond" w:cs="Times New Roman"/>
        </w:rPr>
        <w:t xml:space="preserve"> understanding of speech-acts has simply transferred the action associated with the domain of the material to the realm of speech while leaving uncontested the possibility that matter</w:t>
      </w:r>
      <w:r w:rsidR="007146F4">
        <w:rPr>
          <w:rFonts w:ascii="Garamond" w:eastAsia="Times New Roman" w:hAnsi="Garamond" w:cs="Times New Roman"/>
        </w:rPr>
        <w:t xml:space="preserve"> itself</w:t>
      </w:r>
      <w:r w:rsidRPr="00765407">
        <w:rPr>
          <w:rFonts w:ascii="Garamond" w:eastAsia="Times New Roman" w:hAnsi="Garamond" w:cs="Times New Roman"/>
        </w:rPr>
        <w:t xml:space="preserve"> can generate meaning. </w:t>
      </w:r>
      <w:r w:rsidR="007146F4">
        <w:rPr>
          <w:rFonts w:ascii="Garamond" w:eastAsia="Times New Roman" w:hAnsi="Garamond" w:cs="Times New Roman"/>
        </w:rPr>
        <w:t xml:space="preserve">Accordingly, discourse </w:t>
      </w:r>
      <w:r w:rsidRPr="00765407">
        <w:rPr>
          <w:rFonts w:ascii="Garamond" w:eastAsia="Times New Roman" w:hAnsi="Garamond" w:cs="Times New Roman"/>
        </w:rPr>
        <w:t>maintain a privileged relationship to the world of ideas and a priority in the intellectual historian’s archive</w:t>
      </w:r>
      <w:r w:rsidR="007146F4">
        <w:rPr>
          <w:rFonts w:ascii="Garamond" w:eastAsia="Times New Roman" w:hAnsi="Garamond" w:cs="Times New Roman"/>
        </w:rPr>
        <w:t xml:space="preserve">, as </w:t>
      </w:r>
      <w:r w:rsidRPr="00765407">
        <w:rPr>
          <w:rFonts w:ascii="Garamond" w:eastAsia="Times New Roman" w:hAnsi="Garamond" w:cs="Times New Roman"/>
        </w:rPr>
        <w:t>dominant methods for the study of intellectual history in the 20</w:t>
      </w:r>
      <w:r w:rsidRPr="00765407">
        <w:rPr>
          <w:rFonts w:ascii="Garamond" w:eastAsia="Times New Roman" w:hAnsi="Garamond" w:cs="Times New Roman"/>
          <w:vertAlign w:val="superscript"/>
        </w:rPr>
        <w:t>th</w:t>
      </w:r>
      <w:r w:rsidRPr="00765407">
        <w:rPr>
          <w:rFonts w:ascii="Garamond" w:eastAsia="Times New Roman" w:hAnsi="Garamond" w:cs="Times New Roman"/>
        </w:rPr>
        <w:t xml:space="preserve"> century remain tethered to mentalist vision of ideas that associates </w:t>
      </w:r>
      <w:proofErr w:type="gramStart"/>
      <w:r w:rsidRPr="00765407">
        <w:rPr>
          <w:rFonts w:ascii="Garamond" w:eastAsia="Times New Roman" w:hAnsi="Garamond" w:cs="Times New Roman"/>
        </w:rPr>
        <w:t>meaning-making</w:t>
      </w:r>
      <w:proofErr w:type="gramEnd"/>
      <w:r w:rsidRPr="00765407">
        <w:rPr>
          <w:rFonts w:ascii="Garamond" w:eastAsia="Times New Roman" w:hAnsi="Garamond" w:cs="Times New Roman"/>
        </w:rPr>
        <w:t xml:space="preserve"> with speech in opposition to the mute matter of the body. While the discursive utterance of ideas can certainly have material effects, can the material activities of the body have any ideational effects? </w:t>
      </w:r>
    </w:p>
    <w:p w14:paraId="1F24B677" w14:textId="6BE6A011" w:rsidR="0090120A" w:rsidRPr="00765407" w:rsidRDefault="0090120A" w:rsidP="00FA5791">
      <w:pPr>
        <w:pStyle w:val="ListParagraph"/>
        <w:numPr>
          <w:ilvl w:val="0"/>
          <w:numId w:val="8"/>
        </w:numPr>
        <w:spacing w:line="360" w:lineRule="auto"/>
        <w:jc w:val="both"/>
        <w:rPr>
          <w:rFonts w:ascii="Garamond" w:eastAsia="Times New Roman" w:hAnsi="Garamond" w:cs="Times New Roman"/>
          <w:b/>
          <w:bCs/>
        </w:rPr>
      </w:pPr>
      <w:r w:rsidRPr="00765407">
        <w:rPr>
          <w:rFonts w:ascii="Garamond" w:eastAsia="Times New Roman" w:hAnsi="Garamond" w:cs="Times New Roman"/>
          <w:b/>
          <w:bCs/>
        </w:rPr>
        <w:t>Democratic Theory’s Repressive Hypothesis</w:t>
      </w:r>
    </w:p>
    <w:p w14:paraId="5E78BE3B" w14:textId="77777777" w:rsidR="0090120A" w:rsidRPr="00765407" w:rsidRDefault="0090120A" w:rsidP="00FA5791">
      <w:pPr>
        <w:pStyle w:val="ListParagraph"/>
        <w:numPr>
          <w:ilvl w:val="0"/>
          <w:numId w:val="7"/>
        </w:numPr>
        <w:spacing w:line="360" w:lineRule="auto"/>
        <w:jc w:val="both"/>
        <w:rPr>
          <w:rFonts w:ascii="Garamond" w:eastAsia="Times New Roman" w:hAnsi="Garamond" w:cs="Times New Roman"/>
          <w:i/>
          <w:iCs/>
        </w:rPr>
      </w:pPr>
      <w:r w:rsidRPr="00765407">
        <w:rPr>
          <w:rFonts w:ascii="Garamond" w:eastAsia="Times New Roman" w:hAnsi="Garamond" w:cs="Times New Roman"/>
          <w:i/>
          <w:iCs/>
        </w:rPr>
        <w:t xml:space="preserve">The Public Sphere </w:t>
      </w:r>
    </w:p>
    <w:p w14:paraId="5926D6D1" w14:textId="0BFB2BD2" w:rsidR="0090120A" w:rsidRPr="00765407" w:rsidRDefault="0090120A" w:rsidP="00FA5791">
      <w:pPr>
        <w:spacing w:line="360" w:lineRule="auto"/>
        <w:ind w:firstLine="720"/>
        <w:jc w:val="both"/>
        <w:rPr>
          <w:rFonts w:ascii="Garamond" w:eastAsia="Times New Roman" w:hAnsi="Garamond" w:cs="Times New Roman"/>
        </w:rPr>
      </w:pPr>
      <w:r w:rsidRPr="00765407">
        <w:rPr>
          <w:rFonts w:ascii="Garamond" w:eastAsia="Times New Roman" w:hAnsi="Garamond" w:cs="Times New Roman"/>
        </w:rPr>
        <w:t xml:space="preserve">Given the mentalist underpinnings of many methodologies in the history of ideas, Skinner rejects the notion that </w:t>
      </w:r>
      <w:r w:rsidR="007146F4">
        <w:rPr>
          <w:rFonts w:ascii="Garamond" w:eastAsia="Times New Roman" w:hAnsi="Garamond" w:cs="Times New Roman"/>
        </w:rPr>
        <w:t xml:space="preserve">the </w:t>
      </w:r>
      <w:r w:rsidRPr="00765407">
        <w:rPr>
          <w:rFonts w:ascii="Garamond" w:eastAsia="Times New Roman" w:hAnsi="Garamond" w:cs="Times New Roman"/>
        </w:rPr>
        <w:t>meanings of texts are “purely mental events.” Rather, he argues, ideas “are entirely in the public arena, and are susceptible of being recovered simply by intertextual comparisons and the inferences that can be drawn from them.”</w:t>
      </w:r>
      <w:r w:rsidRPr="00765407">
        <w:rPr>
          <w:rStyle w:val="FootnoteReference"/>
          <w:rFonts w:ascii="Garamond" w:eastAsia="Times New Roman" w:hAnsi="Garamond" w:cs="Times New Roman"/>
        </w:rPr>
        <w:footnoteReference w:id="17"/>
      </w:r>
      <w:r w:rsidRPr="00765407">
        <w:rPr>
          <w:rFonts w:ascii="Garamond" w:eastAsia="Times New Roman" w:hAnsi="Garamond" w:cs="Times New Roman"/>
        </w:rPr>
        <w:t xml:space="preserve"> Ideas do not exist in the singular minds of philosophers but rather circulate, intertextually, in the public arena. Whether read in isolation or recited among others, texts were discussed and debated both in person and in print across a landscape of spaces that historians name the public sphere. As a result of this intertextual exchange, new ideas developed and reconstituted the horizon of meaning through which to make sense of action. </w:t>
      </w:r>
      <w:r w:rsidR="006F0545" w:rsidRPr="00765407">
        <w:rPr>
          <w:rFonts w:ascii="Garamond" w:eastAsia="Times New Roman" w:hAnsi="Garamond" w:cs="Times New Roman"/>
        </w:rPr>
        <w:t xml:space="preserve">Even if texts are not purely mental events, </w:t>
      </w:r>
      <w:r w:rsidRPr="00765407">
        <w:rPr>
          <w:rFonts w:ascii="Garamond" w:eastAsia="Times New Roman" w:hAnsi="Garamond" w:cs="Times New Roman"/>
        </w:rPr>
        <w:t xml:space="preserve">Skinner’s methodology </w:t>
      </w:r>
      <w:r w:rsidR="006F0545" w:rsidRPr="00765407">
        <w:rPr>
          <w:rFonts w:ascii="Garamond" w:eastAsia="Times New Roman" w:hAnsi="Garamond" w:cs="Times New Roman"/>
        </w:rPr>
        <w:t xml:space="preserve">nonetheless relies </w:t>
      </w:r>
      <w:r w:rsidRPr="00765407">
        <w:rPr>
          <w:rFonts w:ascii="Garamond" w:eastAsia="Times New Roman" w:hAnsi="Garamond" w:cs="Times New Roman"/>
        </w:rPr>
        <w:t xml:space="preserve">on a mentalist vision of ideas, one in which ideas are not located in the minds of singular philosophers </w:t>
      </w:r>
      <w:r w:rsidR="006F0545" w:rsidRPr="00765407">
        <w:rPr>
          <w:rFonts w:ascii="Garamond" w:eastAsia="Times New Roman" w:hAnsi="Garamond" w:cs="Times New Roman"/>
        </w:rPr>
        <w:t xml:space="preserve">but </w:t>
      </w:r>
      <w:r w:rsidRPr="00765407">
        <w:rPr>
          <w:rFonts w:ascii="Garamond" w:eastAsia="Times New Roman" w:hAnsi="Garamond" w:cs="Times New Roman"/>
        </w:rPr>
        <w:t xml:space="preserve">the minds of many individuals debating and deliberating in the public </w:t>
      </w:r>
      <w:r w:rsidR="006F0545" w:rsidRPr="00765407">
        <w:rPr>
          <w:rFonts w:ascii="Garamond" w:eastAsia="Times New Roman" w:hAnsi="Garamond" w:cs="Times New Roman"/>
        </w:rPr>
        <w:t>sphere</w:t>
      </w:r>
      <w:r w:rsidRPr="00765407">
        <w:rPr>
          <w:rFonts w:ascii="Garamond" w:eastAsia="Times New Roman" w:hAnsi="Garamond" w:cs="Times New Roman"/>
        </w:rPr>
        <w:t>.</w:t>
      </w:r>
    </w:p>
    <w:p w14:paraId="4467C7E7" w14:textId="42DFD098" w:rsidR="006F0545" w:rsidRPr="00765407" w:rsidRDefault="0090120A" w:rsidP="007146F4">
      <w:pPr>
        <w:spacing w:line="360" w:lineRule="auto"/>
        <w:ind w:firstLine="720"/>
        <w:jc w:val="both"/>
        <w:rPr>
          <w:rFonts w:ascii="Garamond" w:eastAsia="Times New Roman" w:hAnsi="Garamond" w:cs="Times New Roman"/>
        </w:rPr>
      </w:pPr>
      <w:r w:rsidRPr="00765407">
        <w:rPr>
          <w:rFonts w:ascii="Garamond" w:eastAsia="Times New Roman" w:hAnsi="Garamond" w:cs="Times New Roman"/>
        </w:rPr>
        <w:lastRenderedPageBreak/>
        <w:t xml:space="preserve">To better understand how </w:t>
      </w:r>
      <w:r w:rsidR="007146F4">
        <w:rPr>
          <w:rFonts w:ascii="Garamond" w:eastAsia="Times New Roman" w:hAnsi="Garamond" w:cs="Times New Roman"/>
        </w:rPr>
        <w:t>a</w:t>
      </w:r>
      <w:r w:rsidRPr="00765407">
        <w:rPr>
          <w:rFonts w:ascii="Garamond" w:eastAsia="Times New Roman" w:hAnsi="Garamond" w:cs="Times New Roman"/>
        </w:rPr>
        <w:t xml:space="preserve"> discursive image of the public maintains the primacy of speech, reason, and the mind in opposition to the seemingly mute and a-signifying body, I turn to Jürgen Habermas’s early work on the public sphere. I suggest that Habermas provides us with one of the most sophisticated accounts of</w:t>
      </w:r>
      <w:r w:rsidR="007146F4">
        <w:rPr>
          <w:rFonts w:ascii="Garamond" w:eastAsia="Times New Roman" w:hAnsi="Garamond" w:cs="Times New Roman"/>
        </w:rPr>
        <w:t xml:space="preserve"> the</w:t>
      </w:r>
      <w:r w:rsidRPr="00765407">
        <w:rPr>
          <w:rFonts w:ascii="Garamond" w:eastAsia="Times New Roman" w:hAnsi="Garamond" w:cs="Times New Roman"/>
        </w:rPr>
        <w:t xml:space="preserve"> deliberative public arena, the basic structure of which underpins many intellectual historians’ understandings of intertextual exchange. By highlighting how the </w:t>
      </w:r>
      <w:proofErr w:type="spellStart"/>
      <w:r w:rsidRPr="00765407">
        <w:rPr>
          <w:rFonts w:ascii="Garamond" w:eastAsia="Times New Roman" w:hAnsi="Garamond" w:cs="Times New Roman"/>
        </w:rPr>
        <w:t>Habermasian</w:t>
      </w:r>
      <w:proofErr w:type="spellEnd"/>
      <w:r w:rsidRPr="00765407">
        <w:rPr>
          <w:rFonts w:ascii="Garamond" w:eastAsia="Times New Roman" w:hAnsi="Garamond" w:cs="Times New Roman"/>
        </w:rPr>
        <w:t xml:space="preserve"> public is rooted in linguistic exchange and takes shape in opposition to the materiality of the body, we can not only better understand why so many intellectual historians remain captured by a mentalist image of ideas but also begin to devise an alternate account </w:t>
      </w:r>
      <w:r w:rsidR="006F0545" w:rsidRPr="00765407">
        <w:rPr>
          <w:rFonts w:ascii="Garamond" w:eastAsia="Times New Roman" w:hAnsi="Garamond" w:cs="Times New Roman"/>
        </w:rPr>
        <w:t>t</w:t>
      </w:r>
      <w:r w:rsidRPr="00765407">
        <w:rPr>
          <w:rFonts w:ascii="Garamond" w:eastAsia="Times New Roman" w:hAnsi="Garamond" w:cs="Times New Roman"/>
        </w:rPr>
        <w:t>hat promises to overcome intellectual history’s mind-body dualism.</w:t>
      </w:r>
    </w:p>
    <w:p w14:paraId="147F8072" w14:textId="12C3AFD8" w:rsidR="007146F4" w:rsidRPr="007146F4" w:rsidRDefault="0090120A" w:rsidP="007146F4">
      <w:pPr>
        <w:spacing w:line="360" w:lineRule="auto"/>
        <w:jc w:val="both"/>
        <w:rPr>
          <w:rFonts w:ascii="Garamond" w:hAnsi="Garamond"/>
        </w:rPr>
      </w:pPr>
      <w:r w:rsidRPr="00765407">
        <w:rPr>
          <w:rFonts w:ascii="Garamond" w:eastAsia="Times New Roman" w:hAnsi="Garamond" w:cs="Times New Roman"/>
          <w:b/>
          <w:bCs/>
        </w:rPr>
        <w:tab/>
      </w:r>
      <w:r w:rsidRPr="00765407">
        <w:rPr>
          <w:rFonts w:ascii="Garamond" w:eastAsia="Times New Roman" w:hAnsi="Garamond" w:cs="Times New Roman"/>
        </w:rPr>
        <w:t xml:space="preserve">In the </w:t>
      </w:r>
      <w:r w:rsidRPr="00765407">
        <w:rPr>
          <w:rFonts w:ascii="Garamond" w:eastAsia="Times New Roman" w:hAnsi="Garamond" w:cs="Times New Roman"/>
          <w:i/>
          <w:iCs/>
        </w:rPr>
        <w:t xml:space="preserve">Structural Transformation of the Public Sphere, </w:t>
      </w:r>
      <w:r w:rsidRPr="00765407">
        <w:rPr>
          <w:rFonts w:ascii="Garamond" w:eastAsia="Times New Roman" w:hAnsi="Garamond" w:cs="Times New Roman"/>
        </w:rPr>
        <w:t xml:space="preserve">Habermas’s argues that prior to the emergence of the bourgeois public sphere, there existed what he names </w:t>
      </w:r>
      <w:r w:rsidRPr="00765407">
        <w:rPr>
          <w:rFonts w:ascii="Garamond" w:hAnsi="Garamond" w:cs="Arial"/>
          <w:color w:val="000000"/>
          <w:shd w:val="clear" w:color="auto" w:fill="FFFFFF"/>
        </w:rPr>
        <w:t xml:space="preserve">the </w:t>
      </w:r>
      <w:proofErr w:type="spellStart"/>
      <w:r w:rsidRPr="00765407">
        <w:rPr>
          <w:rFonts w:ascii="Garamond" w:hAnsi="Garamond" w:cs="Arial"/>
          <w:i/>
          <w:iCs/>
          <w:color w:val="000000"/>
          <w:shd w:val="clear" w:color="auto" w:fill="FFFFFF"/>
        </w:rPr>
        <w:t>repräsentative</w:t>
      </w:r>
      <w:proofErr w:type="spellEnd"/>
      <w:r w:rsidRPr="00765407">
        <w:rPr>
          <w:rFonts w:ascii="Garamond" w:hAnsi="Garamond" w:cs="Arial"/>
          <w:i/>
          <w:iCs/>
          <w:color w:val="000000"/>
          <w:shd w:val="clear" w:color="auto" w:fill="FFFFFF"/>
        </w:rPr>
        <w:t xml:space="preserve"> </w:t>
      </w:r>
      <w:proofErr w:type="spellStart"/>
      <w:r w:rsidRPr="00765407">
        <w:rPr>
          <w:rFonts w:ascii="Garamond" w:hAnsi="Garamond" w:cs="Arial"/>
          <w:i/>
          <w:iCs/>
          <w:color w:val="000000"/>
          <w:shd w:val="clear" w:color="auto" w:fill="FFFFFF"/>
        </w:rPr>
        <w:t>Öffentlichkeit</w:t>
      </w:r>
      <w:proofErr w:type="spellEnd"/>
      <w:r w:rsidRPr="00765407">
        <w:rPr>
          <w:rFonts w:ascii="Garamond" w:eastAsia="Times New Roman" w:hAnsi="Garamond" w:cs="Arial"/>
        </w:rPr>
        <w:t>.</w:t>
      </w:r>
      <w:r w:rsidRPr="00765407">
        <w:rPr>
          <w:rStyle w:val="FootnoteReference"/>
          <w:rFonts w:ascii="Garamond" w:eastAsia="Times New Roman" w:hAnsi="Garamond" w:cs="Arial"/>
        </w:rPr>
        <w:footnoteReference w:id="18"/>
      </w:r>
      <w:r w:rsidRPr="00765407">
        <w:rPr>
          <w:rFonts w:ascii="Garamond" w:eastAsia="Times New Roman" w:hAnsi="Garamond" w:cs="Arial"/>
        </w:rPr>
        <w:t xml:space="preserve"> </w:t>
      </w:r>
      <w:r w:rsidR="007146F4" w:rsidRPr="00F9445E">
        <w:rPr>
          <w:rFonts w:ascii="Garamond" w:hAnsi="Garamond" w:cs="Arial"/>
          <w:i/>
          <w:iCs/>
          <w:color w:val="000000"/>
          <w:shd w:val="clear" w:color="auto" w:fill="FFFFFF"/>
        </w:rPr>
        <w:t xml:space="preserve"> </w:t>
      </w:r>
      <w:r w:rsidR="007146F4" w:rsidRPr="00F9445E">
        <w:rPr>
          <w:rFonts w:ascii="Garamond" w:hAnsi="Garamond" w:cs="Arial"/>
          <w:color w:val="000000"/>
          <w:shd w:val="clear" w:color="auto" w:fill="FFFFFF"/>
        </w:rPr>
        <w:t xml:space="preserve">“Not by accident,” he writes, “did the English king enjoy ‘publicness’ – for lordship was something publicly represented. This </w:t>
      </w:r>
      <w:r w:rsidR="007146F4" w:rsidRPr="00F9445E">
        <w:rPr>
          <w:rFonts w:ascii="Garamond" w:hAnsi="Garamond" w:cs="Arial"/>
          <w:i/>
          <w:iCs/>
          <w:color w:val="000000"/>
          <w:shd w:val="clear" w:color="auto" w:fill="FFFFFF"/>
        </w:rPr>
        <w:t xml:space="preserve">publicness </w:t>
      </w:r>
      <w:r w:rsidR="007146F4">
        <w:rPr>
          <w:rFonts w:ascii="Garamond" w:hAnsi="Garamond" w:cs="Arial"/>
          <w:color w:val="000000"/>
          <w:shd w:val="clear" w:color="auto" w:fill="FFFFFF"/>
        </w:rPr>
        <w:t>(</w:t>
      </w:r>
      <w:r w:rsidR="007146F4" w:rsidRPr="00F9445E">
        <w:rPr>
          <w:rFonts w:ascii="Garamond" w:hAnsi="Garamond" w:cs="Arial"/>
          <w:color w:val="000000"/>
          <w:shd w:val="clear" w:color="auto" w:fill="FFFFFF"/>
        </w:rPr>
        <w:t xml:space="preserve">or </w:t>
      </w:r>
      <w:r w:rsidR="007146F4" w:rsidRPr="00F9445E">
        <w:rPr>
          <w:rFonts w:ascii="Garamond" w:hAnsi="Garamond" w:cs="Arial"/>
          <w:i/>
          <w:iCs/>
          <w:color w:val="000000"/>
          <w:shd w:val="clear" w:color="auto" w:fill="FFFFFF"/>
        </w:rPr>
        <w:t>publicity</w:t>
      </w:r>
      <w:r w:rsidR="007146F4" w:rsidRPr="00F9445E">
        <w:rPr>
          <w:rFonts w:ascii="Garamond" w:hAnsi="Garamond" w:cs="Arial"/>
          <w:color w:val="000000"/>
          <w:shd w:val="clear" w:color="auto" w:fill="FFFFFF"/>
        </w:rPr>
        <w:t>)</w:t>
      </w:r>
      <w:r w:rsidR="007146F4" w:rsidRPr="00F9445E">
        <w:rPr>
          <w:rFonts w:ascii="Garamond" w:hAnsi="Garamond" w:cs="Arial"/>
          <w:i/>
          <w:iCs/>
          <w:color w:val="000000"/>
          <w:shd w:val="clear" w:color="auto" w:fill="FFFFFF"/>
        </w:rPr>
        <w:t xml:space="preserve"> of representation </w:t>
      </w:r>
      <w:r w:rsidR="007146F4" w:rsidRPr="00F9445E">
        <w:rPr>
          <w:rFonts w:ascii="Garamond" w:hAnsi="Garamond" w:cs="Arial"/>
          <w:color w:val="000000"/>
          <w:shd w:val="clear" w:color="auto" w:fill="FFFFFF"/>
        </w:rPr>
        <w:t>[</w:t>
      </w:r>
      <w:proofErr w:type="spellStart"/>
      <w:r w:rsidR="007146F4" w:rsidRPr="00F9445E">
        <w:rPr>
          <w:rFonts w:ascii="Garamond" w:hAnsi="Garamond" w:cs="Arial"/>
          <w:i/>
          <w:iCs/>
          <w:color w:val="000000"/>
          <w:shd w:val="clear" w:color="auto" w:fill="FFFFFF"/>
        </w:rPr>
        <w:t>repräsentative</w:t>
      </w:r>
      <w:proofErr w:type="spellEnd"/>
      <w:r w:rsidR="007146F4" w:rsidRPr="00F9445E">
        <w:rPr>
          <w:rFonts w:ascii="Garamond" w:hAnsi="Garamond" w:cs="Arial"/>
          <w:i/>
          <w:iCs/>
          <w:color w:val="000000"/>
          <w:shd w:val="clear" w:color="auto" w:fill="FFFFFF"/>
        </w:rPr>
        <w:t xml:space="preserve"> </w:t>
      </w:r>
      <w:proofErr w:type="spellStart"/>
      <w:r w:rsidR="007146F4" w:rsidRPr="00F9445E">
        <w:rPr>
          <w:rFonts w:ascii="Garamond" w:hAnsi="Garamond" w:cs="Arial"/>
          <w:i/>
          <w:iCs/>
          <w:color w:val="000000"/>
          <w:shd w:val="clear" w:color="auto" w:fill="FFFFFF"/>
        </w:rPr>
        <w:t>Öffentlichkeit</w:t>
      </w:r>
      <w:proofErr w:type="spellEnd"/>
      <w:r w:rsidR="007146F4" w:rsidRPr="00F9445E">
        <w:rPr>
          <w:rFonts w:ascii="Garamond" w:hAnsi="Garamond" w:cs="Arial"/>
          <w:color w:val="000000"/>
          <w:shd w:val="clear" w:color="auto" w:fill="FFFFFF"/>
        </w:rPr>
        <w:t>] was not constituted as a social realm, that is, as a public sphere; rather, it was something like a status attribute.”</w:t>
      </w:r>
      <w:r w:rsidR="007146F4" w:rsidRPr="00F9445E">
        <w:rPr>
          <w:rStyle w:val="FootnoteReference"/>
          <w:rFonts w:ascii="Garamond" w:hAnsi="Garamond" w:cs="Arial"/>
          <w:color w:val="000000"/>
          <w:shd w:val="clear" w:color="auto" w:fill="FFFFFF"/>
        </w:rPr>
        <w:footnoteReference w:id="19"/>
      </w:r>
      <w:r w:rsidR="007146F4" w:rsidRPr="00F9445E">
        <w:rPr>
          <w:rFonts w:ascii="Garamond" w:hAnsi="Garamond" w:cs="Arial"/>
          <w:color w:val="000000"/>
          <w:shd w:val="clear" w:color="auto" w:fill="FFFFFF"/>
        </w:rPr>
        <w:t xml:space="preserve"> For Habermas, it was not the communicative exchange of speakers </w:t>
      </w:r>
      <w:r w:rsidR="007146F4">
        <w:rPr>
          <w:rFonts w:ascii="Garamond" w:hAnsi="Garamond" w:cs="Arial"/>
          <w:color w:val="000000"/>
          <w:shd w:val="clear" w:color="auto" w:fill="FFFFFF"/>
        </w:rPr>
        <w:t xml:space="preserve">that organized the power at the royal court, but </w:t>
      </w:r>
      <w:r w:rsidR="007146F4" w:rsidRPr="00F9445E">
        <w:rPr>
          <w:rFonts w:ascii="Garamond" w:hAnsi="Garamond"/>
        </w:rPr>
        <w:t xml:space="preserve">rather the aesthetic features of the lord’s body. The </w:t>
      </w:r>
      <w:proofErr w:type="spellStart"/>
      <w:r w:rsidR="007146F4" w:rsidRPr="00F9445E">
        <w:rPr>
          <w:rFonts w:ascii="Garamond" w:hAnsi="Garamond" w:cs="Arial"/>
          <w:i/>
          <w:iCs/>
          <w:color w:val="000000"/>
          <w:shd w:val="clear" w:color="auto" w:fill="FFFFFF"/>
        </w:rPr>
        <w:t>repräsentative</w:t>
      </w:r>
      <w:proofErr w:type="spellEnd"/>
      <w:r w:rsidR="007146F4" w:rsidRPr="00F9445E">
        <w:rPr>
          <w:rFonts w:ascii="Garamond" w:hAnsi="Garamond" w:cs="Arial"/>
          <w:i/>
          <w:iCs/>
          <w:color w:val="000000"/>
          <w:shd w:val="clear" w:color="auto" w:fill="FFFFFF"/>
        </w:rPr>
        <w:t xml:space="preserve"> </w:t>
      </w:r>
      <w:proofErr w:type="spellStart"/>
      <w:r w:rsidR="007146F4" w:rsidRPr="00F9445E">
        <w:rPr>
          <w:rFonts w:ascii="Garamond" w:hAnsi="Garamond" w:cs="Arial"/>
          <w:i/>
          <w:iCs/>
          <w:color w:val="000000"/>
          <w:shd w:val="clear" w:color="auto" w:fill="FFFFFF"/>
        </w:rPr>
        <w:t>Öffentlichkeit</w:t>
      </w:r>
      <w:proofErr w:type="spellEnd"/>
      <w:r w:rsidR="007146F4" w:rsidRPr="00F9445E">
        <w:rPr>
          <w:rFonts w:ascii="Garamond" w:hAnsi="Garamond" w:cs="Arial"/>
          <w:i/>
          <w:iCs/>
          <w:color w:val="000000"/>
          <w:shd w:val="clear" w:color="auto" w:fill="FFFFFF"/>
        </w:rPr>
        <w:t xml:space="preserve"> </w:t>
      </w:r>
      <w:r w:rsidR="007146F4" w:rsidRPr="00F9445E">
        <w:rPr>
          <w:rFonts w:ascii="Garamond" w:hAnsi="Garamond" w:cs="Arial"/>
          <w:color w:val="000000"/>
          <w:shd w:val="clear" w:color="auto" w:fill="FFFFFF"/>
        </w:rPr>
        <w:t>is</w:t>
      </w:r>
      <w:r w:rsidR="007146F4" w:rsidRPr="00F9445E">
        <w:rPr>
          <w:rFonts w:ascii="Garamond" w:hAnsi="Garamond"/>
        </w:rPr>
        <w:t xml:space="preserve">, Habermas </w:t>
      </w:r>
      <w:r w:rsidR="007146F4">
        <w:rPr>
          <w:rFonts w:ascii="Garamond" w:hAnsi="Garamond"/>
        </w:rPr>
        <w:t>argues</w:t>
      </w:r>
      <w:r w:rsidR="007146F4" w:rsidRPr="00F9445E">
        <w:rPr>
          <w:rFonts w:ascii="Garamond" w:hAnsi="Garamond"/>
        </w:rPr>
        <w:t>, “inseparable from the lord’s concrete existence,” that is, bodily signifiers such as “insignia”, “dress”, “demeanour”, and “rhetoric” – “in a word, to a strict code of ‘noble’ conduct.”</w:t>
      </w:r>
      <w:r w:rsidR="007146F4" w:rsidRPr="00F9445E">
        <w:rPr>
          <w:rStyle w:val="FootnoteReference"/>
          <w:rFonts w:ascii="Garamond" w:hAnsi="Garamond"/>
        </w:rPr>
        <w:footnoteReference w:id="20"/>
      </w:r>
      <w:r w:rsidR="007146F4" w:rsidRPr="00F9445E">
        <w:rPr>
          <w:rFonts w:ascii="Garamond" w:hAnsi="Garamond"/>
        </w:rPr>
        <w:t xml:space="preserve"> </w:t>
      </w:r>
      <w:r w:rsidR="007146F4">
        <w:rPr>
          <w:rFonts w:ascii="Garamond" w:hAnsi="Garamond"/>
        </w:rPr>
        <w:t>Publicity at court was thus r</w:t>
      </w:r>
      <w:r w:rsidR="007146F4">
        <w:rPr>
          <w:rFonts w:ascii="Garamond" w:hAnsi="Garamond" w:cs="Arial"/>
          <w:color w:val="000000"/>
          <w:shd w:val="clear" w:color="auto" w:fill="FFFFFF"/>
        </w:rPr>
        <w:t xml:space="preserve">ooted in an embodied performance of noble </w:t>
      </w:r>
      <w:r w:rsidR="007146F4" w:rsidRPr="00F9445E">
        <w:rPr>
          <w:rFonts w:ascii="Garamond" w:hAnsi="Garamond" w:cs="Arial"/>
          <w:color w:val="000000"/>
          <w:shd w:val="clear" w:color="auto" w:fill="FFFFFF"/>
        </w:rPr>
        <w:t>status</w:t>
      </w:r>
      <w:r w:rsidR="007146F4">
        <w:rPr>
          <w:rFonts w:ascii="Garamond" w:hAnsi="Garamond" w:cs="Arial"/>
          <w:color w:val="000000"/>
          <w:shd w:val="clear" w:color="auto" w:fill="FFFFFF"/>
        </w:rPr>
        <w:t>.</w:t>
      </w:r>
      <w:r w:rsidR="007146F4">
        <w:rPr>
          <w:rFonts w:ascii="Garamond" w:hAnsi="Garamond"/>
        </w:rPr>
        <w:t xml:space="preserve"> T</w:t>
      </w:r>
      <w:r w:rsidR="007146F4" w:rsidRPr="00F9445E">
        <w:rPr>
          <w:rFonts w:ascii="Garamond" w:hAnsi="Garamond"/>
          <w:lang w:val="en-US"/>
        </w:rPr>
        <w:t xml:space="preserve">he “court was a forum,” </w:t>
      </w:r>
      <w:r w:rsidR="007146F4">
        <w:rPr>
          <w:rFonts w:ascii="Garamond" w:hAnsi="Garamond"/>
          <w:lang w:val="en-US"/>
        </w:rPr>
        <w:t xml:space="preserve">as </w:t>
      </w:r>
      <w:r w:rsidR="007146F4" w:rsidRPr="00F9445E">
        <w:rPr>
          <w:rFonts w:ascii="Garamond" w:hAnsi="Garamond"/>
          <w:lang w:val="en-US"/>
        </w:rPr>
        <w:t>Paul Monod writes, “for aristocratic display</w:t>
      </w:r>
      <w:r w:rsidR="007146F4">
        <w:rPr>
          <w:rFonts w:ascii="Garamond" w:hAnsi="Garamond"/>
          <w:lang w:val="en-US"/>
        </w:rPr>
        <w:t>,</w:t>
      </w:r>
      <w:r w:rsidR="007146F4" w:rsidRPr="00F9445E">
        <w:rPr>
          <w:rFonts w:ascii="Garamond" w:hAnsi="Garamond"/>
          <w:lang w:val="en-US"/>
        </w:rPr>
        <w:t>”</w:t>
      </w:r>
      <w:r w:rsidR="007146F4" w:rsidRPr="00F9445E">
        <w:rPr>
          <w:rStyle w:val="FootnoteReference"/>
          <w:rFonts w:ascii="Garamond" w:hAnsi="Garamond"/>
          <w:lang w:val="en-US"/>
        </w:rPr>
        <w:footnoteReference w:id="21"/>
      </w:r>
      <w:r w:rsidR="007146F4">
        <w:rPr>
          <w:rFonts w:ascii="Garamond" w:hAnsi="Garamond"/>
          <w:lang w:val="en-US"/>
        </w:rPr>
        <w:t xml:space="preserve"> a forum which the state heavily regulated</w:t>
      </w:r>
      <w:r w:rsidR="007146F4" w:rsidRPr="00F9445E">
        <w:rPr>
          <w:rFonts w:ascii="Garamond" w:hAnsi="Garamond"/>
        </w:rPr>
        <w:t>.</w:t>
      </w:r>
      <w:r w:rsidR="007146F4" w:rsidRPr="00F9445E">
        <w:rPr>
          <w:rStyle w:val="FootnoteReference"/>
          <w:rFonts w:ascii="Garamond" w:hAnsi="Garamond"/>
        </w:rPr>
        <w:footnoteReference w:id="22"/>
      </w:r>
      <w:r w:rsidR="007146F4">
        <w:rPr>
          <w:rFonts w:ascii="Garamond" w:hAnsi="Garamond"/>
        </w:rPr>
        <w:t xml:space="preserve"> </w:t>
      </w:r>
      <w:r w:rsidR="007146F4">
        <w:rPr>
          <w:rFonts w:ascii="Garamond" w:hAnsi="Garamond" w:cs="Arial"/>
          <w:color w:val="000000"/>
          <w:shd w:val="clear" w:color="auto" w:fill="FFFFFF"/>
        </w:rPr>
        <w:t xml:space="preserve">At court, Habermas writes, </w:t>
      </w:r>
      <w:r w:rsidR="007146F4" w:rsidRPr="00F9445E">
        <w:rPr>
          <w:rFonts w:ascii="Garamond" w:hAnsi="Garamond"/>
        </w:rPr>
        <w:t>the lord “displayed himself, [re]presented himself [</w:t>
      </w:r>
      <w:proofErr w:type="spellStart"/>
      <w:r w:rsidR="007146F4" w:rsidRPr="00F9445E">
        <w:rPr>
          <w:rFonts w:ascii="Garamond" w:hAnsi="Garamond" w:cs="Arial"/>
          <w:i/>
          <w:iCs/>
          <w:color w:val="000000"/>
          <w:shd w:val="clear" w:color="auto" w:fill="FFFFFF"/>
        </w:rPr>
        <w:t>stellt</w:t>
      </w:r>
      <w:proofErr w:type="spellEnd"/>
      <w:r w:rsidR="007146F4" w:rsidRPr="00F9445E">
        <w:rPr>
          <w:rFonts w:ascii="Garamond" w:hAnsi="Garamond" w:cs="Arial"/>
          <w:i/>
          <w:iCs/>
          <w:color w:val="000000"/>
          <w:shd w:val="clear" w:color="auto" w:fill="FFFFFF"/>
        </w:rPr>
        <w:t xml:space="preserve"> </w:t>
      </w:r>
      <w:proofErr w:type="spellStart"/>
      <w:r w:rsidR="007146F4" w:rsidRPr="00F9445E">
        <w:rPr>
          <w:rFonts w:ascii="Garamond" w:hAnsi="Garamond" w:cs="Arial"/>
          <w:i/>
          <w:iCs/>
          <w:color w:val="000000"/>
          <w:shd w:val="clear" w:color="auto" w:fill="FFFFFF"/>
        </w:rPr>
        <w:t>sich</w:t>
      </w:r>
      <w:proofErr w:type="spellEnd"/>
      <w:r w:rsidR="007146F4" w:rsidRPr="00F9445E">
        <w:rPr>
          <w:rFonts w:ascii="Garamond" w:hAnsi="Garamond" w:cs="Arial"/>
          <w:i/>
          <w:iCs/>
          <w:color w:val="000000"/>
          <w:shd w:val="clear" w:color="auto" w:fill="FFFFFF"/>
        </w:rPr>
        <w:t xml:space="preserve"> </w:t>
      </w:r>
      <w:proofErr w:type="spellStart"/>
      <w:r w:rsidR="007146F4" w:rsidRPr="00F9445E">
        <w:rPr>
          <w:rFonts w:ascii="Garamond" w:hAnsi="Garamond" w:cs="Arial"/>
          <w:i/>
          <w:iCs/>
          <w:color w:val="000000"/>
          <w:shd w:val="clear" w:color="auto" w:fill="FFFFFF"/>
        </w:rPr>
        <w:t>dar</w:t>
      </w:r>
      <w:proofErr w:type="spellEnd"/>
      <w:r w:rsidR="007146F4" w:rsidRPr="00F9445E">
        <w:rPr>
          <w:rFonts w:ascii="Garamond" w:hAnsi="Garamond" w:cs="Arial"/>
          <w:color w:val="000000"/>
          <w:shd w:val="clear" w:color="auto" w:fill="FFFFFF"/>
        </w:rPr>
        <w:t xml:space="preserve">] </w:t>
      </w:r>
      <w:r w:rsidR="007146F4" w:rsidRPr="00F9445E">
        <w:rPr>
          <w:rFonts w:ascii="Garamond" w:hAnsi="Garamond"/>
        </w:rPr>
        <w:t xml:space="preserve">as an </w:t>
      </w:r>
      <w:r w:rsidR="007146F4" w:rsidRPr="00F9445E">
        <w:rPr>
          <w:rFonts w:ascii="Garamond" w:hAnsi="Garamond"/>
          <w:i/>
        </w:rPr>
        <w:t>embodiment</w:t>
      </w:r>
      <w:r w:rsidR="007146F4" w:rsidRPr="00F9445E">
        <w:rPr>
          <w:rFonts w:ascii="Garamond" w:hAnsi="Garamond"/>
        </w:rPr>
        <w:t xml:space="preserve"> of some sort of ‘higher’ power.”</w:t>
      </w:r>
      <w:r w:rsidR="007146F4" w:rsidRPr="00F9445E">
        <w:rPr>
          <w:rStyle w:val="FootnoteReference"/>
          <w:rFonts w:ascii="Garamond" w:hAnsi="Garamond"/>
        </w:rPr>
        <w:footnoteReference w:id="23"/>
      </w:r>
      <w:r w:rsidR="007146F4" w:rsidRPr="00F9445E">
        <w:rPr>
          <w:rFonts w:ascii="Garamond" w:hAnsi="Garamond"/>
        </w:rPr>
        <w:t xml:space="preserve"> </w:t>
      </w:r>
      <w:r w:rsidR="007146F4">
        <w:rPr>
          <w:rFonts w:ascii="Garamond" w:hAnsi="Garamond"/>
        </w:rPr>
        <w:t xml:space="preserve">As the lord of all lords, </w:t>
      </w:r>
      <w:r w:rsidR="007146F4" w:rsidRPr="00F9445E">
        <w:rPr>
          <w:rFonts w:ascii="Garamond" w:hAnsi="Garamond" w:cs="Arial"/>
          <w:color w:val="000000"/>
          <w:shd w:val="clear" w:color="auto" w:fill="FFFFFF"/>
        </w:rPr>
        <w:t>the king</w:t>
      </w:r>
      <w:r w:rsidR="007146F4">
        <w:rPr>
          <w:rFonts w:ascii="Garamond" w:hAnsi="Garamond" w:cs="Arial"/>
          <w:color w:val="000000"/>
          <w:shd w:val="clear" w:color="auto" w:fill="FFFFFF"/>
        </w:rPr>
        <w:t xml:space="preserve"> embodied sovereign power in the sense that the monarch’s physical</w:t>
      </w:r>
      <w:r w:rsidR="007146F4" w:rsidRPr="00F9445E">
        <w:rPr>
          <w:rFonts w:ascii="Garamond" w:hAnsi="Garamond" w:cs="Arial"/>
          <w:color w:val="000000"/>
          <w:shd w:val="clear" w:color="auto" w:fill="FFFFFF"/>
        </w:rPr>
        <w:t xml:space="preserve"> body publicly displayed and so represented the</w:t>
      </w:r>
      <w:r w:rsidR="007146F4">
        <w:rPr>
          <w:rFonts w:ascii="Garamond" w:hAnsi="Garamond" w:cs="Arial"/>
          <w:color w:val="000000"/>
          <w:shd w:val="clear" w:color="auto" w:fill="FFFFFF"/>
        </w:rPr>
        <w:t xml:space="preserve"> invisible higher power of the body politic. </w:t>
      </w:r>
    </w:p>
    <w:p w14:paraId="4A921EAE" w14:textId="77777777" w:rsidR="00633F36" w:rsidRDefault="007146F4" w:rsidP="00633F36">
      <w:pPr>
        <w:spacing w:line="360" w:lineRule="auto"/>
        <w:ind w:firstLine="720"/>
        <w:jc w:val="both"/>
        <w:rPr>
          <w:rFonts w:ascii="Garamond" w:hAnsi="Garamond"/>
          <w:iCs/>
        </w:rPr>
      </w:pPr>
      <w:r w:rsidRPr="00765407">
        <w:rPr>
          <w:rFonts w:ascii="Garamond" w:hAnsi="Garamond"/>
        </w:rPr>
        <w:lastRenderedPageBreak/>
        <w:t xml:space="preserve">Though Habermas does not cite </w:t>
      </w:r>
      <w:r w:rsidRPr="00765407">
        <w:rPr>
          <w:rFonts w:ascii="Garamond" w:hAnsi="Garamond"/>
          <w:i/>
          <w:iCs/>
        </w:rPr>
        <w:t>The King’s Two Bodies</w:t>
      </w:r>
      <w:r w:rsidRPr="00765407">
        <w:rPr>
          <w:rFonts w:ascii="Garamond" w:hAnsi="Garamond"/>
        </w:rPr>
        <w:t xml:space="preserve">, published 5 years prior to Habermas’s </w:t>
      </w:r>
      <w:proofErr w:type="spellStart"/>
      <w:r w:rsidRPr="00765407">
        <w:rPr>
          <w:rFonts w:ascii="Garamond" w:hAnsi="Garamond"/>
          <w:i/>
          <w:iCs/>
        </w:rPr>
        <w:t>Strukturwandel</w:t>
      </w:r>
      <w:proofErr w:type="spellEnd"/>
      <w:r w:rsidRPr="00765407">
        <w:rPr>
          <w:rFonts w:ascii="Garamond" w:hAnsi="Garamond"/>
          <w:i/>
          <w:iCs/>
        </w:rPr>
        <w:t xml:space="preserve"> der </w:t>
      </w:r>
      <w:proofErr w:type="spellStart"/>
      <w:r w:rsidRPr="00765407">
        <w:rPr>
          <w:rFonts w:ascii="Garamond" w:hAnsi="Garamond"/>
          <w:i/>
          <w:iCs/>
        </w:rPr>
        <w:t>Öffentlichkeit</w:t>
      </w:r>
      <w:proofErr w:type="spellEnd"/>
      <w:r w:rsidRPr="00765407">
        <w:rPr>
          <w:rFonts w:ascii="Garamond" w:hAnsi="Garamond"/>
        </w:rPr>
        <w:t xml:space="preserve">, Ernst </w:t>
      </w:r>
      <w:proofErr w:type="spellStart"/>
      <w:r w:rsidRPr="00765407">
        <w:rPr>
          <w:rFonts w:ascii="Garamond" w:hAnsi="Garamond"/>
        </w:rPr>
        <w:t>Kantorowicz’s</w:t>
      </w:r>
      <w:proofErr w:type="spellEnd"/>
      <w:r w:rsidRPr="00765407">
        <w:rPr>
          <w:rFonts w:ascii="Garamond" w:hAnsi="Garamond"/>
        </w:rPr>
        <w:t xml:space="preserve"> influential work nonetheless provides a more developed account of the embodied structure of sovereignty that operated in the early modern monarchies. According to </w:t>
      </w:r>
      <w:proofErr w:type="spellStart"/>
      <w:r w:rsidRPr="00765407">
        <w:rPr>
          <w:rFonts w:ascii="Garamond" w:hAnsi="Garamond"/>
        </w:rPr>
        <w:t>Kantorowicz</w:t>
      </w:r>
      <w:proofErr w:type="spellEnd"/>
      <w:r w:rsidRPr="00765407">
        <w:rPr>
          <w:rFonts w:ascii="Garamond" w:hAnsi="Garamond"/>
        </w:rPr>
        <w:t>, 16</w:t>
      </w:r>
      <w:r w:rsidRPr="00765407">
        <w:rPr>
          <w:rFonts w:ascii="Garamond" w:hAnsi="Garamond"/>
          <w:vertAlign w:val="superscript"/>
        </w:rPr>
        <w:t>th</w:t>
      </w:r>
      <w:r w:rsidRPr="00765407">
        <w:rPr>
          <w:rFonts w:ascii="Garamond" w:hAnsi="Garamond"/>
        </w:rPr>
        <w:t xml:space="preserve"> and 17</w:t>
      </w:r>
      <w:r w:rsidRPr="00765407">
        <w:rPr>
          <w:rFonts w:ascii="Garamond" w:hAnsi="Garamond"/>
          <w:vertAlign w:val="superscript"/>
        </w:rPr>
        <w:t>th</w:t>
      </w:r>
      <w:r w:rsidRPr="00765407">
        <w:rPr>
          <w:rFonts w:ascii="Garamond" w:hAnsi="Garamond"/>
        </w:rPr>
        <w:t xml:space="preserve"> century jurists conceived of the authority of the body politic as inseparable from the organic body of the king. The body politic and body natural are, </w:t>
      </w:r>
      <w:proofErr w:type="spellStart"/>
      <w:r w:rsidRPr="00765407">
        <w:rPr>
          <w:rFonts w:ascii="Garamond" w:hAnsi="Garamond"/>
        </w:rPr>
        <w:t>Kantorowicz</w:t>
      </w:r>
      <w:proofErr w:type="spellEnd"/>
      <w:r w:rsidRPr="00765407">
        <w:rPr>
          <w:rFonts w:ascii="Garamond" w:hAnsi="Garamond"/>
        </w:rPr>
        <w:t xml:space="preserve"> writes, “one unit indivisible,</w:t>
      </w:r>
      <w:r w:rsidRPr="00765407">
        <w:rPr>
          <w:rFonts w:ascii="Garamond" w:hAnsi="Garamond"/>
          <w:iCs/>
        </w:rPr>
        <w:t xml:space="preserve"> each being fully contained in the other.”</w:t>
      </w:r>
      <w:r w:rsidRPr="00765407">
        <w:rPr>
          <w:rStyle w:val="FootnoteReference"/>
          <w:rFonts w:ascii="Garamond" w:hAnsi="Garamond"/>
          <w:iCs/>
        </w:rPr>
        <w:footnoteReference w:id="24"/>
      </w:r>
      <w:r w:rsidRPr="00765407">
        <w:rPr>
          <w:rFonts w:ascii="Garamond" w:hAnsi="Garamond"/>
          <w:iCs/>
        </w:rPr>
        <w:t xml:space="preserve"> S</w:t>
      </w:r>
      <w:proofErr w:type="spellStart"/>
      <w:r w:rsidRPr="00765407">
        <w:rPr>
          <w:rFonts w:ascii="Garamond" w:hAnsi="Garamond"/>
          <w:lang w:val="en-US"/>
        </w:rPr>
        <w:t>ubjects</w:t>
      </w:r>
      <w:proofErr w:type="spellEnd"/>
      <w:r w:rsidRPr="00765407">
        <w:rPr>
          <w:rFonts w:ascii="Garamond" w:hAnsi="Garamond"/>
          <w:lang w:val="en-US"/>
        </w:rPr>
        <w:t xml:space="preserve"> expressed their allegiance to the divine and metaphysical Royal Body of the kingdom via allegiance to the monarch in his or her flesh.</w:t>
      </w:r>
      <w:r w:rsidRPr="00765407">
        <w:rPr>
          <w:rFonts w:ascii="Garamond" w:hAnsi="Garamond"/>
        </w:rPr>
        <w:t xml:space="preserve"> As such, courtiers bitterly competed for physical intimacy with the king, since proximity to the king’s material body meant proximity to the ‘higher’ power of the body politic.</w:t>
      </w:r>
      <w:r w:rsidRPr="00765407">
        <w:rPr>
          <w:rStyle w:val="FootnoteReference"/>
          <w:rFonts w:ascii="Garamond" w:hAnsi="Garamond"/>
        </w:rPr>
        <w:footnoteReference w:id="25"/>
      </w:r>
      <w:r w:rsidRPr="00765407">
        <w:rPr>
          <w:rFonts w:ascii="Garamond" w:hAnsi="Garamond"/>
          <w:iCs/>
        </w:rPr>
        <w:t xml:space="preserve"> The publicity of the king’s corporeal body was, as Habermas rightly notes, at the heart of the royal public at court. </w:t>
      </w:r>
    </w:p>
    <w:p w14:paraId="7A416713" w14:textId="77777777" w:rsidR="00633F36" w:rsidRDefault="007146F4" w:rsidP="00633F36">
      <w:pPr>
        <w:spacing w:line="360" w:lineRule="auto"/>
        <w:ind w:firstLine="720"/>
        <w:jc w:val="both"/>
        <w:rPr>
          <w:rFonts w:ascii="Garamond" w:hAnsi="Garamond"/>
        </w:rPr>
      </w:pPr>
      <w:r w:rsidRPr="00F9445E">
        <w:rPr>
          <w:rFonts w:ascii="Garamond" w:hAnsi="Garamond"/>
        </w:rPr>
        <w:t>Habermas’s attention to</w:t>
      </w:r>
      <w:r>
        <w:rPr>
          <w:rFonts w:ascii="Garamond" w:hAnsi="Garamond"/>
        </w:rPr>
        <w:t xml:space="preserve"> </w:t>
      </w:r>
      <w:r w:rsidRPr="00F9445E">
        <w:rPr>
          <w:rFonts w:ascii="Garamond" w:hAnsi="Garamond"/>
        </w:rPr>
        <w:t xml:space="preserve">corporeal aesthetics at the heart of what he calls the </w:t>
      </w:r>
      <w:proofErr w:type="spellStart"/>
      <w:r w:rsidRPr="00F9445E">
        <w:rPr>
          <w:rFonts w:ascii="Garamond" w:hAnsi="Garamond" w:cs="Arial"/>
          <w:i/>
          <w:iCs/>
          <w:color w:val="000000"/>
          <w:shd w:val="clear" w:color="auto" w:fill="FFFFFF"/>
        </w:rPr>
        <w:t>repräsentative</w:t>
      </w:r>
      <w:proofErr w:type="spellEnd"/>
      <w:r w:rsidRPr="00F9445E">
        <w:rPr>
          <w:rFonts w:ascii="Garamond" w:hAnsi="Garamond" w:cs="Arial"/>
          <w:i/>
          <w:iCs/>
          <w:color w:val="000000"/>
          <w:shd w:val="clear" w:color="auto" w:fill="FFFFFF"/>
        </w:rPr>
        <w:t xml:space="preserve"> </w:t>
      </w:r>
      <w:proofErr w:type="spellStart"/>
      <w:r w:rsidRPr="00F9445E">
        <w:rPr>
          <w:rFonts w:ascii="Garamond" w:hAnsi="Garamond" w:cs="Arial"/>
          <w:i/>
          <w:iCs/>
          <w:color w:val="000000"/>
          <w:shd w:val="clear" w:color="auto" w:fill="FFFFFF"/>
        </w:rPr>
        <w:t>Öffentlichkeit</w:t>
      </w:r>
      <w:proofErr w:type="spellEnd"/>
      <w:r>
        <w:rPr>
          <w:rFonts w:ascii="Garamond" w:hAnsi="Garamond" w:cs="Arial"/>
          <w:i/>
          <w:iCs/>
          <w:color w:val="000000"/>
          <w:shd w:val="clear" w:color="auto" w:fill="FFFFFF"/>
        </w:rPr>
        <w:t xml:space="preserve"> </w:t>
      </w:r>
      <w:r>
        <w:rPr>
          <w:rFonts w:ascii="Garamond" w:hAnsi="Garamond" w:cs="Arial"/>
          <w:color w:val="000000"/>
          <w:shd w:val="clear" w:color="auto" w:fill="FFFFFF"/>
        </w:rPr>
        <w:t>belies</w:t>
      </w:r>
      <w:r w:rsidRPr="00F9445E">
        <w:rPr>
          <w:rFonts w:ascii="Garamond" w:hAnsi="Garamond" w:cs="Arial"/>
          <w:color w:val="000000"/>
          <w:shd w:val="clear" w:color="auto" w:fill="FFFFFF"/>
        </w:rPr>
        <w:t xml:space="preserve"> any simple reading that he ignores or overlooks the body.</w:t>
      </w:r>
      <w:r w:rsidRPr="00F9445E">
        <w:rPr>
          <w:rStyle w:val="FootnoteReference"/>
          <w:rFonts w:ascii="Garamond" w:hAnsi="Garamond"/>
          <w:lang w:val="en-US"/>
        </w:rPr>
        <w:footnoteReference w:id="26"/>
      </w:r>
      <w:r w:rsidRPr="00F9445E">
        <w:rPr>
          <w:rFonts w:ascii="Garamond" w:hAnsi="Garamond" w:cs="Arial"/>
          <w:color w:val="000000"/>
          <w:shd w:val="clear" w:color="auto" w:fill="FFFFFF"/>
        </w:rPr>
        <w:t xml:space="preserve"> </w:t>
      </w:r>
      <w:r>
        <w:rPr>
          <w:rFonts w:ascii="Garamond" w:hAnsi="Garamond" w:cs="Arial"/>
          <w:color w:val="000000"/>
          <w:shd w:val="clear" w:color="auto" w:fill="FFFFFF"/>
        </w:rPr>
        <w:t xml:space="preserve">In this early work, the body is not neglected so much as rendered irrelevant as a consequence of the rise </w:t>
      </w:r>
      <w:r w:rsidRPr="00F9445E">
        <w:rPr>
          <w:rFonts w:ascii="Garamond" w:hAnsi="Garamond" w:cs="Arial"/>
          <w:color w:val="000000"/>
          <w:shd w:val="clear" w:color="auto" w:fill="FFFFFF"/>
        </w:rPr>
        <w:t xml:space="preserve">of capitalism </w:t>
      </w:r>
      <w:r>
        <w:rPr>
          <w:rFonts w:ascii="Garamond" w:hAnsi="Garamond" w:cs="Arial"/>
          <w:color w:val="000000"/>
          <w:shd w:val="clear" w:color="auto" w:fill="FFFFFF"/>
        </w:rPr>
        <w:t xml:space="preserve">and the </w:t>
      </w:r>
      <w:r w:rsidRPr="00F9445E">
        <w:rPr>
          <w:rFonts w:ascii="Garamond" w:hAnsi="Garamond" w:cs="Arial"/>
          <w:color w:val="000000"/>
          <w:shd w:val="clear" w:color="auto" w:fill="FFFFFF"/>
        </w:rPr>
        <w:t xml:space="preserve">“disintegration” of the </w:t>
      </w:r>
      <w:proofErr w:type="spellStart"/>
      <w:r w:rsidRPr="00F9445E">
        <w:rPr>
          <w:rFonts w:ascii="Garamond" w:hAnsi="Garamond" w:cs="Arial"/>
          <w:i/>
          <w:iCs/>
          <w:color w:val="000000"/>
          <w:shd w:val="clear" w:color="auto" w:fill="FFFFFF"/>
        </w:rPr>
        <w:t>repräsentative</w:t>
      </w:r>
      <w:proofErr w:type="spellEnd"/>
      <w:r w:rsidRPr="00F9445E">
        <w:rPr>
          <w:rFonts w:ascii="Garamond" w:hAnsi="Garamond" w:cs="Arial"/>
          <w:i/>
          <w:iCs/>
          <w:color w:val="000000"/>
          <w:shd w:val="clear" w:color="auto" w:fill="FFFFFF"/>
        </w:rPr>
        <w:t xml:space="preserve"> </w:t>
      </w:r>
      <w:proofErr w:type="spellStart"/>
      <w:r w:rsidRPr="00F9445E">
        <w:rPr>
          <w:rFonts w:ascii="Garamond" w:hAnsi="Garamond" w:cs="Arial"/>
          <w:i/>
          <w:iCs/>
          <w:color w:val="000000"/>
          <w:shd w:val="clear" w:color="auto" w:fill="FFFFFF"/>
        </w:rPr>
        <w:t>Öffentlichkeit</w:t>
      </w:r>
      <w:proofErr w:type="spellEnd"/>
      <w:r w:rsidRPr="00F9445E">
        <w:rPr>
          <w:rFonts w:ascii="Garamond" w:hAnsi="Garamond" w:cs="Arial"/>
          <w:color w:val="000000"/>
          <w:shd w:val="clear" w:color="auto" w:fill="FFFFFF"/>
        </w:rPr>
        <w:t>.</w:t>
      </w:r>
      <w:r w:rsidRPr="00F9445E">
        <w:rPr>
          <w:rStyle w:val="FootnoteReference"/>
          <w:rFonts w:ascii="Garamond" w:hAnsi="Garamond" w:cs="Arial"/>
          <w:color w:val="000000"/>
          <w:shd w:val="clear" w:color="auto" w:fill="FFFFFF"/>
        </w:rPr>
        <w:footnoteReference w:id="27"/>
      </w:r>
      <w:r w:rsidRPr="00F9445E">
        <w:rPr>
          <w:rFonts w:ascii="Garamond" w:hAnsi="Garamond" w:cs="Arial"/>
          <w:color w:val="000000"/>
          <w:shd w:val="clear" w:color="auto" w:fill="FFFFFF"/>
        </w:rPr>
        <w:t xml:space="preserve"> </w:t>
      </w:r>
      <w:r>
        <w:rPr>
          <w:rFonts w:ascii="Garamond" w:hAnsi="Garamond"/>
        </w:rPr>
        <w:t>As a result of m</w:t>
      </w:r>
      <w:r w:rsidRPr="00F9445E">
        <w:rPr>
          <w:rFonts w:ascii="Garamond" w:hAnsi="Garamond"/>
        </w:rPr>
        <w:t>ercantilist driven growth of the world’s market economies</w:t>
      </w:r>
      <w:r>
        <w:rPr>
          <w:rFonts w:ascii="Garamond" w:hAnsi="Garamond"/>
        </w:rPr>
        <w:t xml:space="preserve"> during the 17</w:t>
      </w:r>
      <w:r w:rsidRPr="00F86648">
        <w:rPr>
          <w:rFonts w:ascii="Garamond" w:hAnsi="Garamond"/>
          <w:vertAlign w:val="superscript"/>
        </w:rPr>
        <w:t>th</w:t>
      </w:r>
      <w:r>
        <w:rPr>
          <w:rFonts w:ascii="Garamond" w:hAnsi="Garamond"/>
        </w:rPr>
        <w:t xml:space="preserve"> century, states </w:t>
      </w:r>
      <w:r w:rsidRPr="00F9445E">
        <w:rPr>
          <w:rFonts w:ascii="Garamond" w:hAnsi="Garamond"/>
        </w:rPr>
        <w:t>develop</w:t>
      </w:r>
      <w:r>
        <w:rPr>
          <w:rFonts w:ascii="Garamond" w:hAnsi="Garamond"/>
        </w:rPr>
        <w:t>ed</w:t>
      </w:r>
      <w:r w:rsidRPr="00F9445E">
        <w:rPr>
          <w:rFonts w:ascii="Garamond" w:hAnsi="Garamond"/>
        </w:rPr>
        <w:t xml:space="preserve"> permanent bureaucratic apparatuses</w:t>
      </w:r>
      <w:r>
        <w:rPr>
          <w:rFonts w:ascii="Garamond" w:hAnsi="Garamond"/>
        </w:rPr>
        <w:t xml:space="preserve"> </w:t>
      </w:r>
      <w:r w:rsidRPr="00F9445E">
        <w:rPr>
          <w:rFonts w:ascii="Garamond" w:hAnsi="Garamond"/>
        </w:rPr>
        <w:t>to meet</w:t>
      </w:r>
      <w:r>
        <w:rPr>
          <w:rFonts w:ascii="Garamond" w:hAnsi="Garamond"/>
        </w:rPr>
        <w:t xml:space="preserve"> the</w:t>
      </w:r>
      <w:r w:rsidRPr="00F9445E">
        <w:rPr>
          <w:rFonts w:ascii="Garamond" w:hAnsi="Garamond"/>
        </w:rPr>
        <w:t xml:space="preserve"> new</w:t>
      </w:r>
      <w:r>
        <w:rPr>
          <w:rFonts w:ascii="Garamond" w:hAnsi="Garamond"/>
        </w:rPr>
        <w:t xml:space="preserve"> </w:t>
      </w:r>
      <w:r w:rsidRPr="00F9445E">
        <w:rPr>
          <w:rFonts w:ascii="Garamond" w:hAnsi="Garamond"/>
        </w:rPr>
        <w:t xml:space="preserve">demand for capital. </w:t>
      </w:r>
      <w:r>
        <w:rPr>
          <w:rFonts w:ascii="Garamond" w:hAnsi="Garamond"/>
        </w:rPr>
        <w:t xml:space="preserve">According to </w:t>
      </w:r>
      <w:r w:rsidRPr="00F9445E">
        <w:rPr>
          <w:rFonts w:ascii="Garamond" w:hAnsi="Garamond"/>
        </w:rPr>
        <w:t xml:space="preserve">Habermas, </w:t>
      </w:r>
      <w:r>
        <w:rPr>
          <w:rFonts w:ascii="Garamond" w:hAnsi="Garamond"/>
        </w:rPr>
        <w:t xml:space="preserve">this development led to a </w:t>
      </w:r>
      <w:r w:rsidRPr="00F9445E">
        <w:rPr>
          <w:rFonts w:ascii="Garamond" w:hAnsi="Garamond" w:cs="Arial"/>
          <w:color w:val="000000"/>
          <w:shd w:val="clear" w:color="auto" w:fill="FFFFFF"/>
        </w:rPr>
        <w:t>separat</w:t>
      </w:r>
      <w:r>
        <w:rPr>
          <w:rFonts w:ascii="Garamond" w:hAnsi="Garamond" w:cs="Arial"/>
          <w:color w:val="000000"/>
          <w:shd w:val="clear" w:color="auto" w:fill="FFFFFF"/>
        </w:rPr>
        <w:t>ion</w:t>
      </w:r>
      <w:r w:rsidRPr="00F9445E">
        <w:rPr>
          <w:rFonts w:ascii="Garamond" w:hAnsi="Garamond" w:cs="Arial"/>
          <w:color w:val="000000"/>
          <w:shd w:val="clear" w:color="auto" w:fill="FFFFFF"/>
        </w:rPr>
        <w:t xml:space="preserve"> between the “prince’s personal holdings and what belonged to the state</w:t>
      </w:r>
      <w:r>
        <w:rPr>
          <w:rFonts w:ascii="Garamond" w:hAnsi="Garamond" w:cs="Arial"/>
          <w:color w:val="000000"/>
          <w:shd w:val="clear" w:color="auto" w:fill="FFFFFF"/>
        </w:rPr>
        <w:t>,</w:t>
      </w:r>
      <w:r w:rsidRPr="00F9445E">
        <w:rPr>
          <w:rFonts w:ascii="Garamond" w:hAnsi="Garamond" w:cs="Arial"/>
          <w:color w:val="000000"/>
          <w:shd w:val="clear" w:color="auto" w:fill="FFFFFF"/>
        </w:rPr>
        <w:t>”</w:t>
      </w:r>
      <w:r w:rsidRPr="00F9445E">
        <w:rPr>
          <w:rStyle w:val="FootnoteReference"/>
          <w:rFonts w:ascii="Garamond" w:hAnsi="Garamond" w:cs="Arial"/>
          <w:color w:val="000000"/>
          <w:shd w:val="clear" w:color="auto" w:fill="FFFFFF"/>
        </w:rPr>
        <w:footnoteReference w:id="28"/>
      </w:r>
      <w:r w:rsidRPr="00F9445E">
        <w:rPr>
          <w:rFonts w:ascii="Garamond" w:hAnsi="Garamond" w:cs="Arial"/>
          <w:color w:val="000000"/>
          <w:shd w:val="clear" w:color="auto" w:fill="FFFFFF"/>
        </w:rPr>
        <w:t xml:space="preserve"> </w:t>
      </w:r>
      <w:r>
        <w:rPr>
          <w:rFonts w:ascii="Garamond" w:hAnsi="Garamond" w:cs="Arial"/>
          <w:color w:val="000000"/>
          <w:shd w:val="clear" w:color="auto" w:fill="FFFFFF"/>
        </w:rPr>
        <w:t xml:space="preserve">a split that ultimately </w:t>
      </w:r>
      <w:r w:rsidRPr="00F9445E">
        <w:rPr>
          <w:rFonts w:ascii="Garamond" w:hAnsi="Garamond" w:cs="Arial"/>
          <w:color w:val="000000"/>
          <w:shd w:val="clear" w:color="auto" w:fill="FFFFFF"/>
        </w:rPr>
        <w:t>“depersonalized [the] state”</w:t>
      </w:r>
      <w:r>
        <w:rPr>
          <w:rFonts w:ascii="Garamond" w:hAnsi="Garamond" w:cs="Arial"/>
          <w:color w:val="000000"/>
          <w:shd w:val="clear" w:color="auto" w:fill="FFFFFF"/>
        </w:rPr>
        <w:t xml:space="preserve"> and produced </w:t>
      </w:r>
      <w:r w:rsidRPr="00F9445E">
        <w:rPr>
          <w:rFonts w:ascii="Garamond" w:hAnsi="Garamond" w:cs="Arial"/>
          <w:color w:val="000000"/>
          <w:shd w:val="clear" w:color="auto" w:fill="FFFFFF"/>
        </w:rPr>
        <w:t xml:space="preserve">a new </w:t>
      </w:r>
      <w:r>
        <w:rPr>
          <w:rFonts w:ascii="Garamond" w:hAnsi="Garamond" w:cs="Arial"/>
          <w:color w:val="000000"/>
          <w:shd w:val="clear" w:color="auto" w:fill="FFFFFF"/>
        </w:rPr>
        <w:t xml:space="preserve">disembodied </w:t>
      </w:r>
      <w:r w:rsidRPr="00F9445E">
        <w:rPr>
          <w:rFonts w:ascii="Garamond" w:hAnsi="Garamond" w:cs="Arial"/>
          <w:color w:val="000000"/>
          <w:shd w:val="clear" w:color="auto" w:fill="FFFFFF"/>
        </w:rPr>
        <w:t>sphere of public authority.</w:t>
      </w:r>
      <w:r w:rsidRPr="00F9445E">
        <w:rPr>
          <w:rStyle w:val="FootnoteReference"/>
          <w:rFonts w:ascii="Garamond" w:hAnsi="Garamond" w:cs="Arial"/>
          <w:color w:val="000000"/>
          <w:shd w:val="clear" w:color="auto" w:fill="FFFFFF"/>
        </w:rPr>
        <w:footnoteReference w:id="29"/>
      </w:r>
      <w:r w:rsidRPr="00F9445E">
        <w:rPr>
          <w:rFonts w:ascii="Garamond" w:hAnsi="Garamond" w:cs="Arial"/>
          <w:color w:val="000000"/>
          <w:shd w:val="clear" w:color="auto" w:fill="FFFFFF"/>
        </w:rPr>
        <w:t xml:space="preserve"> “‘Public’</w:t>
      </w:r>
      <w:r>
        <w:rPr>
          <w:rFonts w:ascii="Garamond" w:hAnsi="Garamond" w:cs="Arial"/>
          <w:color w:val="000000"/>
          <w:shd w:val="clear" w:color="auto" w:fill="FFFFFF"/>
        </w:rPr>
        <w:t>,” he writes, “</w:t>
      </w:r>
      <w:r w:rsidRPr="00F9445E">
        <w:rPr>
          <w:rFonts w:ascii="Garamond" w:hAnsi="Garamond" w:cs="Arial"/>
          <w:color w:val="000000"/>
          <w:shd w:val="clear" w:color="auto" w:fill="FFFFFF"/>
        </w:rPr>
        <w:t>no longer referred to the representative ‘court’ of a person endowed with authority but instead to the functioning of an apparatus with regulated spheres of jurisdiction.”</w:t>
      </w:r>
      <w:r w:rsidRPr="00F9445E">
        <w:rPr>
          <w:rStyle w:val="FootnoteReference"/>
          <w:rFonts w:ascii="Garamond" w:hAnsi="Garamond" w:cs="Arial"/>
          <w:color w:val="000000"/>
          <w:shd w:val="clear" w:color="auto" w:fill="FFFFFF"/>
        </w:rPr>
        <w:footnoteReference w:id="30"/>
      </w:r>
      <w:r>
        <w:rPr>
          <w:rFonts w:ascii="Garamond" w:hAnsi="Garamond" w:cs="Arial"/>
          <w:color w:val="000000"/>
          <w:shd w:val="clear" w:color="auto" w:fill="FFFFFF"/>
        </w:rPr>
        <w:t xml:space="preserve"> In line with more recent </w:t>
      </w:r>
      <w:r w:rsidRPr="0043028A">
        <w:rPr>
          <w:rFonts w:ascii="Garamond" w:hAnsi="Garamond"/>
          <w:color w:val="000000" w:themeColor="text1"/>
        </w:rPr>
        <w:t>institutional-financial accounts of state development</w:t>
      </w:r>
      <w:r>
        <w:rPr>
          <w:rFonts w:ascii="Garamond" w:hAnsi="Garamond"/>
          <w:color w:val="000000" w:themeColor="text1"/>
        </w:rPr>
        <w:t>, Habermas contends that the 17</w:t>
      </w:r>
      <w:r w:rsidRPr="00063CD3">
        <w:rPr>
          <w:rFonts w:ascii="Garamond" w:hAnsi="Garamond"/>
          <w:color w:val="000000" w:themeColor="text1"/>
          <w:vertAlign w:val="superscript"/>
        </w:rPr>
        <w:t>th</w:t>
      </w:r>
      <w:r>
        <w:rPr>
          <w:rFonts w:ascii="Garamond" w:hAnsi="Garamond"/>
          <w:color w:val="000000" w:themeColor="text1"/>
        </w:rPr>
        <w:t xml:space="preserve"> century</w:t>
      </w:r>
      <w:r w:rsidRPr="00F9445E">
        <w:rPr>
          <w:rFonts w:ascii="Garamond" w:hAnsi="Garamond" w:cs="Arial"/>
          <w:color w:val="000000"/>
          <w:shd w:val="clear" w:color="auto" w:fill="FFFFFF"/>
        </w:rPr>
        <w:t xml:space="preserve"> formation of a permanent bureaucracy to manage the state’s finances depersonalized political </w:t>
      </w:r>
      <w:r>
        <w:rPr>
          <w:rFonts w:ascii="Garamond" w:hAnsi="Garamond" w:cs="Arial"/>
          <w:color w:val="000000"/>
          <w:shd w:val="clear" w:color="auto" w:fill="FFFFFF"/>
        </w:rPr>
        <w:t xml:space="preserve">power as public authority became identified with the state’s </w:t>
      </w:r>
      <w:r>
        <w:rPr>
          <w:rFonts w:ascii="Garamond" w:hAnsi="Garamond" w:cs="Arial"/>
          <w:color w:val="000000"/>
          <w:shd w:val="clear" w:color="auto" w:fill="FFFFFF"/>
        </w:rPr>
        <w:lastRenderedPageBreak/>
        <w:t>administrative sphere.</w:t>
      </w:r>
      <w:r w:rsidRPr="00F9445E">
        <w:rPr>
          <w:rStyle w:val="FootnoteReference"/>
          <w:rFonts w:ascii="Garamond" w:hAnsi="Garamond"/>
        </w:rPr>
        <w:footnoteReference w:id="31"/>
      </w:r>
      <w:r>
        <w:rPr>
          <w:rFonts w:ascii="Garamond" w:hAnsi="Garamond" w:cs="Arial"/>
          <w:color w:val="000000"/>
          <w:shd w:val="clear" w:color="auto" w:fill="FFFFFF"/>
        </w:rPr>
        <w:t xml:space="preserve">As a result, he claims, the </w:t>
      </w:r>
      <w:r w:rsidRPr="00F9445E">
        <w:rPr>
          <w:rFonts w:ascii="Garamond" w:hAnsi="Garamond" w:cs="Arial"/>
          <w:color w:val="000000"/>
          <w:shd w:val="clear" w:color="auto" w:fill="FFFFFF"/>
        </w:rPr>
        <w:t>body politic</w:t>
      </w:r>
      <w:r>
        <w:rPr>
          <w:rFonts w:ascii="Garamond" w:hAnsi="Garamond" w:cs="Arial"/>
          <w:color w:val="000000"/>
          <w:shd w:val="clear" w:color="auto" w:fill="FFFFFF"/>
        </w:rPr>
        <w:t xml:space="preserve"> was severed</w:t>
      </w:r>
      <w:r w:rsidRPr="00F9445E">
        <w:rPr>
          <w:rFonts w:ascii="Garamond" w:hAnsi="Garamond" w:cs="Arial"/>
          <w:color w:val="000000"/>
          <w:shd w:val="clear" w:color="auto" w:fill="FFFFFF"/>
        </w:rPr>
        <w:t xml:space="preserve"> from the natural body of the king</w:t>
      </w:r>
      <w:r>
        <w:rPr>
          <w:rFonts w:ascii="Garamond" w:hAnsi="Garamond" w:cs="Arial"/>
          <w:color w:val="000000"/>
          <w:shd w:val="clear" w:color="auto" w:fill="FFFFFF"/>
        </w:rPr>
        <w:t>, and t</w:t>
      </w:r>
      <w:r w:rsidRPr="00F9445E">
        <w:rPr>
          <w:rFonts w:ascii="Garamond" w:hAnsi="Garamond" w:cs="Arial"/>
          <w:color w:val="000000"/>
          <w:shd w:val="clear" w:color="auto" w:fill="FFFFFF"/>
        </w:rPr>
        <w:t>he state’s authority bec</w:t>
      </w:r>
      <w:r>
        <w:rPr>
          <w:rFonts w:ascii="Garamond" w:hAnsi="Garamond" w:cs="Arial"/>
          <w:color w:val="000000"/>
          <w:shd w:val="clear" w:color="auto" w:fill="FFFFFF"/>
        </w:rPr>
        <w:t>a</w:t>
      </w:r>
      <w:r w:rsidRPr="00F9445E">
        <w:rPr>
          <w:rFonts w:ascii="Garamond" w:hAnsi="Garamond" w:cs="Arial"/>
          <w:color w:val="000000"/>
          <w:shd w:val="clear" w:color="auto" w:fill="FFFFFF"/>
        </w:rPr>
        <w:t xml:space="preserve">me abstracted not just from the king’s body but, Habermas infers, from </w:t>
      </w:r>
      <w:proofErr w:type="spellStart"/>
      <w:r w:rsidRPr="00F9445E">
        <w:rPr>
          <w:rFonts w:ascii="Garamond" w:hAnsi="Garamond" w:cs="Arial"/>
          <w:color w:val="000000"/>
          <w:shd w:val="clear" w:color="auto" w:fill="FFFFFF"/>
        </w:rPr>
        <w:t>any body</w:t>
      </w:r>
      <w:proofErr w:type="spellEnd"/>
      <w:r w:rsidRPr="00F9445E">
        <w:rPr>
          <w:rFonts w:ascii="Garamond" w:hAnsi="Garamond" w:cs="Arial"/>
          <w:color w:val="000000"/>
          <w:shd w:val="clear" w:color="auto" w:fill="FFFFFF"/>
        </w:rPr>
        <w:t xml:space="preserve"> whatsoever.</w:t>
      </w:r>
    </w:p>
    <w:p w14:paraId="2EC962C7" w14:textId="5BEB5D56" w:rsidR="007146F4" w:rsidRPr="000303A0" w:rsidRDefault="007146F4" w:rsidP="000303A0">
      <w:pPr>
        <w:spacing w:line="360" w:lineRule="auto"/>
        <w:ind w:firstLine="720"/>
        <w:jc w:val="both"/>
        <w:rPr>
          <w:rFonts w:ascii="Garamond" w:hAnsi="Garamond"/>
        </w:rPr>
      </w:pPr>
      <w:r>
        <w:rPr>
          <w:rFonts w:ascii="Garamond" w:hAnsi="Garamond"/>
        </w:rPr>
        <w:t xml:space="preserve">According to Habermas, capitalism </w:t>
      </w:r>
      <w:r w:rsidRPr="00F9445E">
        <w:rPr>
          <w:rFonts w:ascii="Garamond" w:hAnsi="Garamond"/>
        </w:rPr>
        <w:t>severed the semiotic chain uniting the</w:t>
      </w:r>
      <w:r>
        <w:rPr>
          <w:rFonts w:ascii="Garamond" w:hAnsi="Garamond"/>
        </w:rPr>
        <w:t xml:space="preserve"> king’s body as a</w:t>
      </w:r>
      <w:r w:rsidRPr="00F9445E">
        <w:rPr>
          <w:rFonts w:ascii="Garamond" w:hAnsi="Garamond"/>
        </w:rPr>
        <w:t xml:space="preserve"> public signifier </w:t>
      </w:r>
      <w:r>
        <w:rPr>
          <w:rFonts w:ascii="Garamond" w:hAnsi="Garamond"/>
        </w:rPr>
        <w:t>to</w:t>
      </w:r>
      <w:r w:rsidRPr="00F9445E">
        <w:rPr>
          <w:rFonts w:ascii="Garamond" w:hAnsi="Garamond"/>
        </w:rPr>
        <w:t xml:space="preserve"> </w:t>
      </w:r>
      <w:r>
        <w:rPr>
          <w:rFonts w:ascii="Garamond" w:hAnsi="Garamond"/>
        </w:rPr>
        <w:t xml:space="preserve">any </w:t>
      </w:r>
      <w:r w:rsidRPr="00F9445E">
        <w:rPr>
          <w:rFonts w:ascii="Garamond" w:hAnsi="Garamond"/>
        </w:rPr>
        <w:t xml:space="preserve">significations of state </w:t>
      </w:r>
      <w:r>
        <w:rPr>
          <w:rFonts w:ascii="Garamond" w:hAnsi="Garamond"/>
        </w:rPr>
        <w:t>power. The representative public at court thus came to end, for him, when the king’s representative body could no longer embody</w:t>
      </w:r>
      <w:r w:rsidRPr="00F9445E">
        <w:rPr>
          <w:rFonts w:ascii="Garamond" w:hAnsi="Garamond"/>
        </w:rPr>
        <w:t xml:space="preserve"> public authority</w:t>
      </w:r>
      <w:r>
        <w:rPr>
          <w:rFonts w:ascii="Garamond" w:hAnsi="Garamond"/>
        </w:rPr>
        <w:t>.</w:t>
      </w:r>
      <w:r w:rsidR="00633F36">
        <w:rPr>
          <w:rFonts w:ascii="Garamond" w:hAnsi="Garamond"/>
        </w:rPr>
        <w:t xml:space="preserve"> The power of the body politic was thus no longer the prerogative of one person, but the object of equal debate and discussion of those members of the bourgeois public sphere. As such, Habermas’s account of the public sphere presents a certain historiography of the downfall of monarchy and the rise of democratic society as the shift from a political regime centered around the royal body to one in which speech and deliberation take center stage. This historiography has served, I suggest, as the implicit background of intellectual history and its prioritization of intertextual exchange as the central archive of political theory. Yet, o</w:t>
      </w:r>
      <w:r w:rsidR="00633F36" w:rsidRPr="00765407">
        <w:rPr>
          <w:rFonts w:ascii="Garamond" w:hAnsi="Garamond" w:cs="Arial"/>
          <w:color w:val="000000"/>
          <w:shd w:val="clear" w:color="auto" w:fill="FFFFFF"/>
        </w:rPr>
        <w:t xml:space="preserve">ne need not be a </w:t>
      </w:r>
      <w:proofErr w:type="spellStart"/>
      <w:proofErr w:type="gramStart"/>
      <w:r w:rsidR="00633F36" w:rsidRPr="00765407">
        <w:rPr>
          <w:rFonts w:ascii="Garamond" w:hAnsi="Garamond" w:cs="Arial"/>
          <w:color w:val="000000"/>
          <w:shd w:val="clear" w:color="auto" w:fill="FFFFFF"/>
        </w:rPr>
        <w:t>Habermasian</w:t>
      </w:r>
      <w:proofErr w:type="spellEnd"/>
      <w:r w:rsidR="000303A0">
        <w:rPr>
          <w:rFonts w:ascii="Garamond" w:hAnsi="Garamond" w:cs="Arial"/>
          <w:color w:val="000000"/>
          <w:shd w:val="clear" w:color="auto" w:fill="FFFFFF"/>
        </w:rPr>
        <w:t xml:space="preserve"> </w:t>
      </w:r>
      <w:r w:rsidR="00633F36" w:rsidRPr="00765407">
        <w:rPr>
          <w:rFonts w:ascii="Garamond" w:hAnsi="Garamond" w:cs="Arial"/>
          <w:color w:val="000000"/>
          <w:shd w:val="clear" w:color="auto" w:fill="FFFFFF"/>
        </w:rPr>
        <w:t xml:space="preserve"> to</w:t>
      </w:r>
      <w:proofErr w:type="gramEnd"/>
      <w:r w:rsidR="00633F36" w:rsidRPr="00765407">
        <w:rPr>
          <w:rFonts w:ascii="Garamond" w:hAnsi="Garamond" w:cs="Arial"/>
          <w:color w:val="000000"/>
          <w:shd w:val="clear" w:color="auto" w:fill="FFFFFF"/>
        </w:rPr>
        <w:t xml:space="preserve"> believe that</w:t>
      </w:r>
      <w:r w:rsidR="000303A0">
        <w:rPr>
          <w:rFonts w:ascii="Garamond" w:hAnsi="Garamond" w:cs="Arial"/>
          <w:color w:val="000000"/>
          <w:shd w:val="clear" w:color="auto" w:fill="FFFFFF"/>
        </w:rPr>
        <w:t xml:space="preserve">, with the </w:t>
      </w:r>
      <w:r w:rsidR="00633F36" w:rsidRPr="00765407">
        <w:rPr>
          <w:rFonts w:ascii="Garamond" w:hAnsi="Garamond" w:cs="Arial"/>
          <w:color w:val="000000"/>
          <w:shd w:val="clear" w:color="auto" w:fill="FFFFFF"/>
        </w:rPr>
        <w:t xml:space="preserve">downfall of </w:t>
      </w:r>
      <w:r w:rsidR="000303A0">
        <w:rPr>
          <w:rFonts w:ascii="Garamond" w:hAnsi="Garamond" w:cs="Arial"/>
          <w:color w:val="000000"/>
          <w:shd w:val="clear" w:color="auto" w:fill="FFFFFF"/>
        </w:rPr>
        <w:t>the monarchy, there emerged a sp</w:t>
      </w:r>
      <w:r w:rsidR="00633F36" w:rsidRPr="00765407">
        <w:rPr>
          <w:rFonts w:ascii="Garamond" w:hAnsi="Garamond" w:cs="Arial"/>
          <w:color w:val="000000"/>
          <w:shd w:val="clear" w:color="auto" w:fill="FFFFFF"/>
        </w:rPr>
        <w:t xml:space="preserve">lit between the material body of the king and the </w:t>
      </w:r>
      <w:r w:rsidR="00633F36">
        <w:rPr>
          <w:rFonts w:ascii="Garamond" w:hAnsi="Garamond" w:cs="Arial"/>
          <w:color w:val="000000"/>
          <w:shd w:val="clear" w:color="auto" w:fill="FFFFFF"/>
        </w:rPr>
        <w:t>symbolic</w:t>
      </w:r>
      <w:r w:rsidR="00633F36" w:rsidRPr="00765407">
        <w:rPr>
          <w:rFonts w:ascii="Garamond" w:hAnsi="Garamond" w:cs="Arial"/>
          <w:color w:val="000000"/>
          <w:shd w:val="clear" w:color="auto" w:fill="FFFFFF"/>
        </w:rPr>
        <w:t xml:space="preserve"> body</w:t>
      </w:r>
      <w:r w:rsidR="000303A0">
        <w:rPr>
          <w:rFonts w:ascii="Garamond" w:hAnsi="Garamond" w:cs="Arial"/>
          <w:color w:val="000000"/>
          <w:shd w:val="clear" w:color="auto" w:fill="FFFFFF"/>
        </w:rPr>
        <w:t xml:space="preserve"> of the state ultimately resulting in a </w:t>
      </w:r>
      <w:r w:rsidR="000303A0">
        <w:rPr>
          <w:rFonts w:ascii="Garamond" w:hAnsi="Garamond" w:cs="Arial"/>
          <w:color w:val="000000"/>
          <w:shd w:val="clear" w:color="auto" w:fill="FFFFFF"/>
        </w:rPr>
        <w:t>democratic society that</w:t>
      </w:r>
      <w:r w:rsidR="000303A0">
        <w:rPr>
          <w:rFonts w:ascii="Garamond" w:hAnsi="Garamond" w:cs="Arial"/>
          <w:color w:val="000000"/>
          <w:shd w:val="clear" w:color="auto" w:fill="FFFFFF"/>
        </w:rPr>
        <w:t xml:space="preserve"> </w:t>
      </w:r>
      <w:r w:rsidR="000303A0">
        <w:rPr>
          <w:rFonts w:ascii="Garamond" w:hAnsi="Garamond" w:cs="Arial"/>
          <w:color w:val="000000"/>
          <w:shd w:val="clear" w:color="auto" w:fill="FFFFFF"/>
        </w:rPr>
        <w:t>prioritized discourse</w:t>
      </w:r>
      <w:r w:rsidR="000303A0">
        <w:rPr>
          <w:rFonts w:ascii="Garamond" w:hAnsi="Garamond" w:cs="Arial"/>
          <w:color w:val="000000"/>
          <w:shd w:val="clear" w:color="auto" w:fill="FFFFFF"/>
        </w:rPr>
        <w:t xml:space="preserve"> as the primary arena of politics. </w:t>
      </w:r>
    </w:p>
    <w:p w14:paraId="3E01CF2F" w14:textId="77777777" w:rsidR="0090120A" w:rsidRPr="00765407" w:rsidRDefault="0090120A" w:rsidP="00FA5791">
      <w:pPr>
        <w:pStyle w:val="ListParagraph"/>
        <w:numPr>
          <w:ilvl w:val="0"/>
          <w:numId w:val="6"/>
        </w:numPr>
        <w:spacing w:line="360" w:lineRule="auto"/>
        <w:jc w:val="both"/>
        <w:rPr>
          <w:rFonts w:ascii="Garamond" w:hAnsi="Garamond" w:cs="Arial"/>
          <w:i/>
          <w:iCs/>
          <w:color w:val="000000"/>
          <w:shd w:val="clear" w:color="auto" w:fill="FFFFFF"/>
        </w:rPr>
      </w:pPr>
      <w:r w:rsidRPr="00765407">
        <w:rPr>
          <w:rFonts w:ascii="Garamond" w:hAnsi="Garamond" w:cs="Arial"/>
          <w:i/>
          <w:iCs/>
          <w:color w:val="000000"/>
          <w:shd w:val="clear" w:color="auto" w:fill="FFFFFF"/>
        </w:rPr>
        <w:t>The Democratic Revolution.</w:t>
      </w:r>
    </w:p>
    <w:p w14:paraId="667610A5" w14:textId="1BE1CCD5" w:rsidR="0090120A" w:rsidRPr="00765407" w:rsidRDefault="0090120A" w:rsidP="00FA5791">
      <w:pPr>
        <w:spacing w:line="360" w:lineRule="auto"/>
        <w:ind w:firstLine="720"/>
        <w:jc w:val="both"/>
        <w:rPr>
          <w:rFonts w:ascii="Garamond" w:hAnsi="Garamond" w:cs="Times New Roman"/>
        </w:rPr>
      </w:pPr>
      <w:r w:rsidRPr="00765407">
        <w:rPr>
          <w:rFonts w:ascii="Garamond" w:hAnsi="Garamond" w:cs="Arial"/>
          <w:color w:val="000000"/>
          <w:shd w:val="clear" w:color="auto" w:fill="FFFFFF"/>
        </w:rPr>
        <w:t xml:space="preserve">Despite the challenge they pose to the tradition of deliberative democracy associated with Habermas’s work, the tradition of radical democracy </w:t>
      </w:r>
      <w:r w:rsidR="000303A0">
        <w:rPr>
          <w:rFonts w:ascii="Garamond" w:hAnsi="Garamond" w:cs="Arial"/>
          <w:color w:val="000000"/>
          <w:shd w:val="clear" w:color="auto" w:fill="FFFFFF"/>
        </w:rPr>
        <w:t>emerging from the work of</w:t>
      </w:r>
      <w:r w:rsidRPr="00765407">
        <w:rPr>
          <w:rFonts w:ascii="Garamond" w:hAnsi="Garamond" w:cs="Arial"/>
          <w:color w:val="000000"/>
          <w:shd w:val="clear" w:color="auto" w:fill="FFFFFF"/>
        </w:rPr>
        <w:t xml:space="preserve"> </w:t>
      </w:r>
      <w:r w:rsidRPr="00765407">
        <w:rPr>
          <w:rFonts w:ascii="Garamond" w:hAnsi="Garamond" w:cs="Times New Roman"/>
        </w:rPr>
        <w:t xml:space="preserve">Ernesto </w:t>
      </w:r>
      <w:proofErr w:type="spellStart"/>
      <w:r w:rsidRPr="00765407">
        <w:rPr>
          <w:rFonts w:ascii="Garamond" w:hAnsi="Garamond" w:cs="Times New Roman"/>
        </w:rPr>
        <w:t>Laclau</w:t>
      </w:r>
      <w:proofErr w:type="spellEnd"/>
      <w:r w:rsidRPr="00765407">
        <w:rPr>
          <w:rFonts w:ascii="Garamond" w:hAnsi="Garamond" w:cs="Times New Roman"/>
        </w:rPr>
        <w:t xml:space="preserve"> and Chantal </w:t>
      </w:r>
      <w:proofErr w:type="spellStart"/>
      <w:r w:rsidRPr="00765407">
        <w:rPr>
          <w:rFonts w:ascii="Garamond" w:hAnsi="Garamond" w:cs="Times New Roman"/>
        </w:rPr>
        <w:t>Mouffe</w:t>
      </w:r>
      <w:proofErr w:type="spellEnd"/>
      <w:r w:rsidRPr="00765407">
        <w:rPr>
          <w:rFonts w:ascii="Garamond" w:hAnsi="Garamond" w:cs="Times New Roman"/>
        </w:rPr>
        <w:t xml:space="preserve"> </w:t>
      </w:r>
      <w:r w:rsidRPr="00765407">
        <w:rPr>
          <w:rFonts w:ascii="Garamond" w:hAnsi="Garamond" w:cs="Times New Roman"/>
          <w:lang w:val="en-US"/>
        </w:rPr>
        <w:t>draws on a similar reading of</w:t>
      </w:r>
      <w:r w:rsidR="000303A0">
        <w:rPr>
          <w:rFonts w:ascii="Garamond" w:hAnsi="Garamond" w:cs="Times New Roman"/>
          <w:lang w:val="en-US"/>
        </w:rPr>
        <w:t xml:space="preserve"> a </w:t>
      </w:r>
      <w:r w:rsidR="000303A0" w:rsidRPr="00765407">
        <w:rPr>
          <w:rFonts w:ascii="Garamond" w:hAnsi="Garamond" w:cs="Times New Roman"/>
          <w:lang w:val="en-US"/>
        </w:rPr>
        <w:t>split between the material and the symbolic</w:t>
      </w:r>
      <w:r w:rsidRPr="00765407">
        <w:rPr>
          <w:rFonts w:ascii="Garamond" w:hAnsi="Garamond" w:cs="Times New Roman"/>
          <w:lang w:val="en-US"/>
        </w:rPr>
        <w:t xml:space="preserve"> </w:t>
      </w:r>
      <w:r w:rsidR="000303A0">
        <w:rPr>
          <w:rFonts w:ascii="Garamond" w:hAnsi="Garamond" w:cs="Times New Roman"/>
          <w:lang w:val="en-US"/>
        </w:rPr>
        <w:t xml:space="preserve">resulting from the </w:t>
      </w:r>
      <w:r w:rsidRPr="00765407">
        <w:rPr>
          <w:rFonts w:ascii="Garamond" w:hAnsi="Garamond" w:cs="Times New Roman"/>
          <w:lang w:val="en-US"/>
        </w:rPr>
        <w:t xml:space="preserve">rupture </w:t>
      </w:r>
      <w:r w:rsidR="006F0545" w:rsidRPr="00765407">
        <w:rPr>
          <w:rFonts w:ascii="Garamond" w:hAnsi="Garamond" w:cs="Times New Roman"/>
          <w:lang w:val="en-US"/>
        </w:rPr>
        <w:t xml:space="preserve">of the king’s two bodies. </w:t>
      </w:r>
      <w:r w:rsidRPr="00765407">
        <w:rPr>
          <w:rFonts w:ascii="Garamond" w:hAnsi="Garamond" w:cs="Times New Roman"/>
          <w:lang w:val="en-US"/>
        </w:rPr>
        <w:t xml:space="preserve">In </w:t>
      </w:r>
      <w:r w:rsidRPr="00765407">
        <w:rPr>
          <w:rFonts w:ascii="Garamond" w:hAnsi="Garamond" w:cs="Times New Roman"/>
          <w:i/>
          <w:iCs/>
          <w:lang w:val="en-US"/>
        </w:rPr>
        <w:t>Hegemony and Socialist Strategy</w:t>
      </w:r>
      <w:r w:rsidRPr="00765407">
        <w:rPr>
          <w:rFonts w:ascii="Garamond" w:hAnsi="Garamond" w:cs="Times New Roman"/>
          <w:lang w:val="en-US"/>
        </w:rPr>
        <w:t xml:space="preserve">, </w:t>
      </w:r>
      <w:proofErr w:type="spellStart"/>
      <w:r w:rsidRPr="00765407">
        <w:rPr>
          <w:rFonts w:ascii="Garamond" w:hAnsi="Garamond" w:cs="Times New Roman"/>
          <w:lang w:val="en-US"/>
        </w:rPr>
        <w:t>Laclau</w:t>
      </w:r>
      <w:proofErr w:type="spellEnd"/>
      <w:r w:rsidRPr="00765407">
        <w:rPr>
          <w:rFonts w:ascii="Garamond" w:hAnsi="Garamond" w:cs="Times New Roman"/>
          <w:lang w:val="en-US"/>
        </w:rPr>
        <w:t xml:space="preserve"> and </w:t>
      </w:r>
      <w:proofErr w:type="spellStart"/>
      <w:r w:rsidRPr="00765407">
        <w:rPr>
          <w:rFonts w:ascii="Garamond" w:hAnsi="Garamond" w:cs="Times New Roman"/>
          <w:lang w:val="en-US"/>
        </w:rPr>
        <w:t>Mouffe</w:t>
      </w:r>
      <w:proofErr w:type="spellEnd"/>
      <w:r w:rsidRPr="00765407">
        <w:rPr>
          <w:rFonts w:ascii="Garamond" w:hAnsi="Garamond" w:cs="Times New Roman"/>
          <w:lang w:val="en-US"/>
        </w:rPr>
        <w:t xml:space="preserve"> </w:t>
      </w:r>
      <w:r w:rsidR="006F0545" w:rsidRPr="00765407">
        <w:rPr>
          <w:rFonts w:ascii="Garamond" w:hAnsi="Garamond" w:cs="Times New Roman"/>
          <w:lang w:val="en-US"/>
        </w:rPr>
        <w:t>develop</w:t>
      </w:r>
      <w:r w:rsidRPr="00765407">
        <w:rPr>
          <w:rFonts w:ascii="Garamond" w:hAnsi="Garamond" w:cs="Times New Roman"/>
          <w:lang w:val="en-US"/>
        </w:rPr>
        <w:t xml:space="preserve"> the concept of hegemony as a</w:t>
      </w:r>
      <w:r w:rsidRPr="00765407">
        <w:rPr>
          <w:rFonts w:ascii="Garamond" w:hAnsi="Garamond" w:cs="Times New Roman"/>
        </w:rPr>
        <w:t xml:space="preserve">n analytic and tool in the struggle for radical democracy. Notwithstanding the complexity of the concept, </w:t>
      </w:r>
      <w:proofErr w:type="spellStart"/>
      <w:r w:rsidRPr="00765407">
        <w:rPr>
          <w:rFonts w:ascii="Garamond" w:hAnsi="Garamond" w:cs="Times New Roman"/>
          <w:lang w:val="en-US"/>
        </w:rPr>
        <w:t>Laclau</w:t>
      </w:r>
      <w:proofErr w:type="spellEnd"/>
      <w:r w:rsidRPr="00765407">
        <w:rPr>
          <w:rFonts w:ascii="Garamond" w:hAnsi="Garamond" w:cs="Times New Roman"/>
          <w:lang w:val="en-US"/>
        </w:rPr>
        <w:t xml:space="preserve"> and </w:t>
      </w:r>
      <w:proofErr w:type="spellStart"/>
      <w:r w:rsidRPr="00765407">
        <w:rPr>
          <w:rFonts w:ascii="Garamond" w:hAnsi="Garamond" w:cs="Times New Roman"/>
          <w:lang w:val="en-US"/>
        </w:rPr>
        <w:t>Mouffe</w:t>
      </w:r>
      <w:proofErr w:type="spellEnd"/>
      <w:r w:rsidRPr="00765407">
        <w:rPr>
          <w:rFonts w:ascii="Garamond" w:hAnsi="Garamond" w:cs="Times New Roman"/>
          <w:lang w:val="en-US"/>
        </w:rPr>
        <w:t xml:space="preserve"> argue that </w:t>
      </w:r>
      <w:r w:rsidRPr="00765407">
        <w:rPr>
          <w:rFonts w:ascii="Garamond" w:hAnsi="Garamond" w:cs="Times New Roman"/>
        </w:rPr>
        <w:t>hegemony</w:t>
      </w:r>
      <w:r w:rsidRPr="00765407">
        <w:rPr>
          <w:rFonts w:ascii="Garamond" w:hAnsi="Garamond" w:cs="Times New Roman"/>
          <w:lang w:val="en-US"/>
        </w:rPr>
        <w:t xml:space="preserve"> is </w:t>
      </w:r>
      <w:r w:rsidRPr="00765407">
        <w:rPr>
          <w:rFonts w:ascii="Garamond" w:hAnsi="Garamond" w:cs="Times New Roman"/>
        </w:rPr>
        <w:t xml:space="preserve">an “articulatory practice which constitutes and organizes social relations” (96). </w:t>
      </w:r>
      <w:proofErr w:type="spellStart"/>
      <w:r w:rsidRPr="00765407">
        <w:rPr>
          <w:rFonts w:ascii="Garamond" w:hAnsi="Garamond" w:cs="Times New Roman"/>
        </w:rPr>
        <w:t>Laclau</w:t>
      </w:r>
      <w:proofErr w:type="spellEnd"/>
      <w:r w:rsidRPr="00765407">
        <w:rPr>
          <w:rFonts w:ascii="Garamond" w:hAnsi="Garamond" w:cs="Times New Roman"/>
        </w:rPr>
        <w:t xml:space="preserve"> and </w:t>
      </w:r>
      <w:proofErr w:type="spellStart"/>
      <w:r w:rsidRPr="00765407">
        <w:rPr>
          <w:rFonts w:ascii="Garamond" w:hAnsi="Garamond" w:cs="Times New Roman"/>
        </w:rPr>
        <w:t>Mouffe</w:t>
      </w:r>
      <w:proofErr w:type="spellEnd"/>
      <w:r w:rsidRPr="00765407">
        <w:rPr>
          <w:rFonts w:ascii="Garamond" w:hAnsi="Garamond" w:cs="Times New Roman"/>
        </w:rPr>
        <w:t xml:space="preserve"> are often taken to articulate a certain political ontology in their work, given that they argue that the “the problem of the political is the problem of the institution of the social,” </w:t>
      </w:r>
      <w:r w:rsidR="000303A0">
        <w:rPr>
          <w:rFonts w:ascii="Garamond" w:hAnsi="Garamond" w:cs="Times New Roman"/>
        </w:rPr>
        <w:t xml:space="preserve">which is to say, the problem of the political is the organization of </w:t>
      </w:r>
      <w:r w:rsidRPr="00765407">
        <w:rPr>
          <w:rFonts w:ascii="Garamond" w:hAnsi="Garamond" w:cs="Times New Roman"/>
        </w:rPr>
        <w:t>the symbolic domain in which political relations gain meaning</w:t>
      </w:r>
      <w:r w:rsidR="000303A0">
        <w:rPr>
          <w:rFonts w:ascii="Garamond" w:hAnsi="Garamond" w:cs="Times New Roman"/>
        </w:rPr>
        <w:t xml:space="preserve"> </w:t>
      </w:r>
      <w:r w:rsidR="000303A0" w:rsidRPr="00765407">
        <w:rPr>
          <w:rFonts w:ascii="Garamond" w:hAnsi="Garamond" w:cs="Times New Roman"/>
        </w:rPr>
        <w:t>(153)</w:t>
      </w:r>
      <w:r w:rsidRPr="00765407">
        <w:rPr>
          <w:rFonts w:ascii="Garamond" w:hAnsi="Garamond" w:cs="Times New Roman"/>
        </w:rPr>
        <w:t xml:space="preserve">. But insofar as their project is ontological, it is not trans-historical. As a productive strategy of political power, the project of hegemony is only possible, they argue, in a certain epoch inaugurated by what they call the democratic revolution. Turning to work of French political theorist Claude </w:t>
      </w:r>
      <w:proofErr w:type="spellStart"/>
      <w:r w:rsidRPr="00765407">
        <w:rPr>
          <w:rFonts w:ascii="Garamond" w:hAnsi="Garamond" w:cs="Times New Roman"/>
        </w:rPr>
        <w:t>Lefort</w:t>
      </w:r>
      <w:proofErr w:type="spellEnd"/>
      <w:r w:rsidRPr="00765407">
        <w:rPr>
          <w:rFonts w:ascii="Garamond" w:hAnsi="Garamond" w:cs="Times New Roman"/>
        </w:rPr>
        <w:t>, they argue that “</w:t>
      </w:r>
      <w:proofErr w:type="spellStart"/>
      <w:r w:rsidRPr="00765407">
        <w:rPr>
          <w:rFonts w:ascii="Garamond" w:hAnsi="Garamond" w:cs="Times New Roman"/>
        </w:rPr>
        <w:t>Lefort</w:t>
      </w:r>
      <w:proofErr w:type="spellEnd"/>
      <w:r w:rsidRPr="00765407">
        <w:rPr>
          <w:rFonts w:ascii="Garamond" w:hAnsi="Garamond" w:cs="Times New Roman"/>
        </w:rPr>
        <w:t xml:space="preserve"> has shown how the ‘</w:t>
      </w:r>
      <w:r w:rsidRPr="00765407">
        <w:rPr>
          <w:rStyle w:val="highlight"/>
          <w:rFonts w:ascii="Garamond" w:hAnsi="Garamond" w:cs="Times New Roman"/>
        </w:rPr>
        <w:t xml:space="preserve">democratic </w:t>
      </w:r>
      <w:r w:rsidRPr="00765407">
        <w:rPr>
          <w:rStyle w:val="highlight"/>
          <w:rFonts w:ascii="Garamond" w:hAnsi="Garamond" w:cs="Times New Roman"/>
        </w:rPr>
        <w:lastRenderedPageBreak/>
        <w:t>rev</w:t>
      </w:r>
      <w:r w:rsidRPr="00765407">
        <w:rPr>
          <w:rFonts w:ascii="Garamond" w:hAnsi="Garamond" w:cs="Times New Roman"/>
        </w:rPr>
        <w:t xml:space="preserve">olution,’… supposes a profound mutation at the symbolic level [and] implies a new form of institution of the social” (186). The democratic revolution </w:t>
      </w:r>
      <w:r w:rsidR="000303A0">
        <w:rPr>
          <w:rFonts w:ascii="Garamond" w:hAnsi="Garamond" w:cs="Times New Roman"/>
        </w:rPr>
        <w:t xml:space="preserve">transformed </w:t>
      </w:r>
      <w:r w:rsidRPr="00765407">
        <w:rPr>
          <w:rFonts w:ascii="Garamond" w:hAnsi="Garamond" w:cs="Times New Roman"/>
        </w:rPr>
        <w:t xml:space="preserve">the ontological terrain of the political, such that hegemony now becomes feasible as a viable political strategy. To understand </w:t>
      </w:r>
      <w:proofErr w:type="spellStart"/>
      <w:r w:rsidRPr="00765407">
        <w:rPr>
          <w:rFonts w:ascii="Garamond" w:hAnsi="Garamond" w:cs="Times New Roman"/>
        </w:rPr>
        <w:t>Laclau</w:t>
      </w:r>
      <w:proofErr w:type="spellEnd"/>
      <w:r w:rsidRPr="00765407">
        <w:rPr>
          <w:rFonts w:ascii="Garamond" w:hAnsi="Garamond" w:cs="Times New Roman"/>
        </w:rPr>
        <w:t xml:space="preserve"> and </w:t>
      </w:r>
      <w:proofErr w:type="spellStart"/>
      <w:r w:rsidRPr="00765407">
        <w:rPr>
          <w:rFonts w:ascii="Garamond" w:hAnsi="Garamond" w:cs="Times New Roman"/>
        </w:rPr>
        <w:t>Mouffe’s</w:t>
      </w:r>
      <w:proofErr w:type="spellEnd"/>
      <w:r w:rsidRPr="00765407">
        <w:rPr>
          <w:rFonts w:ascii="Garamond" w:hAnsi="Garamond" w:cs="Times New Roman"/>
        </w:rPr>
        <w:t xml:space="preserve"> identification of hegemony as a discursive practice therefore, we must understand what, according to them, took place during the democratic revolution.</w:t>
      </w:r>
    </w:p>
    <w:p w14:paraId="5FA30DCD" w14:textId="57549592" w:rsidR="00AD4E3F" w:rsidRDefault="0090120A" w:rsidP="00FA5791">
      <w:pPr>
        <w:spacing w:line="360" w:lineRule="auto"/>
        <w:ind w:firstLine="720"/>
        <w:jc w:val="both"/>
        <w:rPr>
          <w:rFonts w:ascii="Garamond" w:hAnsi="Garamond" w:cs="Times New Roman"/>
        </w:rPr>
      </w:pPr>
      <w:r w:rsidRPr="00765407">
        <w:rPr>
          <w:rFonts w:ascii="Garamond" w:hAnsi="Garamond" w:cs="Times New Roman"/>
        </w:rPr>
        <w:t xml:space="preserve">According to </w:t>
      </w:r>
      <w:proofErr w:type="spellStart"/>
      <w:r w:rsidRPr="00765407">
        <w:rPr>
          <w:rFonts w:ascii="Garamond" w:hAnsi="Garamond" w:cs="Times New Roman"/>
        </w:rPr>
        <w:t>Laclau</w:t>
      </w:r>
      <w:proofErr w:type="spellEnd"/>
      <w:r w:rsidRPr="00765407">
        <w:rPr>
          <w:rFonts w:ascii="Garamond" w:hAnsi="Garamond" w:cs="Times New Roman"/>
        </w:rPr>
        <w:t xml:space="preserve"> and </w:t>
      </w:r>
      <w:proofErr w:type="spellStart"/>
      <w:r w:rsidRPr="00765407">
        <w:rPr>
          <w:rFonts w:ascii="Garamond" w:hAnsi="Garamond" w:cs="Times New Roman"/>
        </w:rPr>
        <w:t>Mouffe</w:t>
      </w:r>
      <w:proofErr w:type="spellEnd"/>
      <w:r w:rsidRPr="00765407">
        <w:rPr>
          <w:rFonts w:ascii="Garamond" w:hAnsi="Garamond" w:cs="Times New Roman"/>
        </w:rPr>
        <w:t>, the monarchical world of Europe was “a society of a hierarchic and inegalitarian type” in which “power was incorporated in the person of the prince, who was the representative of God” (155,</w:t>
      </w:r>
      <w:r w:rsidR="00AD4E3F">
        <w:rPr>
          <w:rFonts w:ascii="Garamond" w:hAnsi="Garamond" w:cs="Times New Roman"/>
        </w:rPr>
        <w:t xml:space="preserve"> </w:t>
      </w:r>
      <w:r w:rsidRPr="00765407">
        <w:rPr>
          <w:rFonts w:ascii="Garamond" w:hAnsi="Garamond" w:cs="Times New Roman"/>
        </w:rPr>
        <w:t xml:space="preserve">186). The social imaginary of the </w:t>
      </w:r>
      <w:proofErr w:type="spellStart"/>
      <w:r w:rsidRPr="00765407">
        <w:rPr>
          <w:rFonts w:ascii="Garamond" w:hAnsi="Garamond" w:cs="Times New Roman"/>
          <w:i/>
          <w:iCs/>
        </w:rPr>
        <w:t>ancien</w:t>
      </w:r>
      <w:proofErr w:type="spellEnd"/>
      <w:r w:rsidRPr="00765407">
        <w:rPr>
          <w:rFonts w:ascii="Garamond" w:hAnsi="Garamond" w:cs="Times New Roman"/>
          <w:i/>
          <w:iCs/>
        </w:rPr>
        <w:t xml:space="preserve"> regime </w:t>
      </w:r>
      <w:r w:rsidRPr="00765407">
        <w:rPr>
          <w:rFonts w:ascii="Garamond" w:hAnsi="Garamond" w:cs="Times New Roman"/>
        </w:rPr>
        <w:t xml:space="preserve">was organized according to a naturalized hierarchy of rank and status governed by a divinely ordained ruler. </w:t>
      </w:r>
      <w:r w:rsidR="00AD4E3F">
        <w:rPr>
          <w:rFonts w:ascii="Garamond" w:hAnsi="Garamond" w:cs="Times New Roman"/>
        </w:rPr>
        <w:t>Beginning in</w:t>
      </w:r>
      <w:r w:rsidRPr="00765407">
        <w:rPr>
          <w:rFonts w:ascii="Garamond" w:hAnsi="Garamond" w:cs="Times New Roman"/>
        </w:rPr>
        <w:t xml:space="preserve"> </w:t>
      </w:r>
      <w:r w:rsidR="00AD4E3F">
        <w:rPr>
          <w:rFonts w:ascii="Garamond" w:hAnsi="Garamond" w:cs="Times New Roman"/>
        </w:rPr>
        <w:t>France 1789,</w:t>
      </w:r>
      <w:r w:rsidRPr="00765407">
        <w:rPr>
          <w:rFonts w:ascii="Garamond" w:hAnsi="Garamond" w:cs="Times New Roman"/>
        </w:rPr>
        <w:t xml:space="preserve"> </w:t>
      </w:r>
      <w:r w:rsidR="00AD4E3F">
        <w:rPr>
          <w:rFonts w:ascii="Garamond" w:hAnsi="Garamond" w:cs="Times New Roman"/>
          <w:lang w:val="en-GB"/>
        </w:rPr>
        <w:t>the d</w:t>
      </w:r>
      <w:proofErr w:type="spellStart"/>
      <w:r w:rsidR="00AD4E3F" w:rsidRPr="00765407">
        <w:rPr>
          <w:rFonts w:ascii="Garamond" w:hAnsi="Garamond" w:cs="Times New Roman"/>
        </w:rPr>
        <w:t>emocratic</w:t>
      </w:r>
      <w:proofErr w:type="spellEnd"/>
      <w:r w:rsidR="00AD4E3F" w:rsidRPr="00765407">
        <w:rPr>
          <w:rFonts w:ascii="Garamond" w:hAnsi="Garamond" w:cs="Times New Roman"/>
        </w:rPr>
        <w:t xml:space="preserve"> revolution</w:t>
      </w:r>
      <w:r w:rsidR="00AD4E3F">
        <w:rPr>
          <w:rFonts w:ascii="Garamond" w:hAnsi="Garamond" w:cs="Times New Roman"/>
        </w:rPr>
        <w:t xml:space="preserve"> broke </w:t>
      </w:r>
      <w:r w:rsidRPr="00765407">
        <w:rPr>
          <w:rFonts w:ascii="Garamond" w:hAnsi="Garamond" w:cs="Times New Roman"/>
        </w:rPr>
        <w:t xml:space="preserve">with </w:t>
      </w:r>
      <w:r w:rsidR="00AD4E3F">
        <w:rPr>
          <w:rFonts w:ascii="Garamond" w:hAnsi="Garamond" w:cs="Times New Roman"/>
        </w:rPr>
        <w:t>the monarchical society’s</w:t>
      </w:r>
      <w:r w:rsidRPr="00765407">
        <w:rPr>
          <w:rFonts w:ascii="Garamond" w:hAnsi="Garamond" w:cs="Times New Roman"/>
        </w:rPr>
        <w:t xml:space="preserve"> hierarchical imaginary. “[S]</w:t>
      </w:r>
      <w:proofErr w:type="spellStart"/>
      <w:r w:rsidRPr="00765407">
        <w:rPr>
          <w:rFonts w:ascii="Garamond" w:hAnsi="Garamond" w:cs="Times New Roman"/>
        </w:rPr>
        <w:t>ymbolized</w:t>
      </w:r>
      <w:proofErr w:type="spellEnd"/>
      <w:r w:rsidRPr="00765407">
        <w:rPr>
          <w:rFonts w:ascii="Garamond" w:hAnsi="Garamond" w:cs="Times New Roman"/>
        </w:rPr>
        <w:t xml:space="preserve"> by the Declaration of the Rights of Man,” they write, </w:t>
      </w:r>
    </w:p>
    <w:p w14:paraId="33A5D905" w14:textId="138DE93C" w:rsidR="00AD4E3F" w:rsidRDefault="00AD4E3F" w:rsidP="00AD4E3F">
      <w:pPr>
        <w:ind w:left="720"/>
        <w:jc w:val="both"/>
        <w:rPr>
          <w:rFonts w:ascii="Garamond" w:hAnsi="Garamond" w:cs="Times New Roman"/>
        </w:rPr>
      </w:pPr>
      <w:r>
        <w:rPr>
          <w:rFonts w:ascii="Garamond" w:hAnsi="Garamond" w:cs="Times New Roman"/>
        </w:rPr>
        <w:t>[t</w:t>
      </w:r>
      <w:r w:rsidR="0090120A" w:rsidRPr="00765407">
        <w:rPr>
          <w:rFonts w:ascii="Garamond" w:hAnsi="Garamond" w:cs="Times New Roman"/>
        </w:rPr>
        <w:t>he democratic revolution provided</w:t>
      </w:r>
      <w:r>
        <w:rPr>
          <w:rFonts w:ascii="Garamond" w:hAnsi="Garamond" w:cs="Times New Roman"/>
        </w:rPr>
        <w:t xml:space="preserve">] </w:t>
      </w:r>
      <w:r w:rsidR="0090120A" w:rsidRPr="00765407">
        <w:rPr>
          <w:rFonts w:ascii="Garamond" w:hAnsi="Garamond" w:cs="Times New Roman"/>
        </w:rPr>
        <w:t xml:space="preserve">the discursive conditions which made it possible to propose the different forms of inequality as illegitimate and anti-natural…. Here lay the profound subversive power of the democratic discourse, which would allow the spread of equality and liberty </w:t>
      </w:r>
      <w:proofErr w:type="gramStart"/>
      <w:r w:rsidR="0090120A" w:rsidRPr="00765407">
        <w:rPr>
          <w:rFonts w:ascii="Garamond" w:hAnsi="Garamond" w:cs="Times New Roman"/>
        </w:rPr>
        <w:t>in to</w:t>
      </w:r>
      <w:proofErr w:type="gramEnd"/>
      <w:r w:rsidR="0090120A" w:rsidRPr="00765407">
        <w:rPr>
          <w:rFonts w:ascii="Garamond" w:hAnsi="Garamond" w:cs="Times New Roman"/>
        </w:rPr>
        <w:t xml:space="preserve"> increasingly wider domains and therefore act as a fermenting agent upon the different forms of struggle against subordination (155)</w:t>
      </w:r>
      <w:r>
        <w:rPr>
          <w:rFonts w:ascii="Garamond" w:hAnsi="Garamond" w:cs="Times New Roman"/>
        </w:rPr>
        <w:t>.</w:t>
      </w:r>
    </w:p>
    <w:p w14:paraId="7A9F33EE" w14:textId="77777777" w:rsidR="00AD4E3F" w:rsidRDefault="00AD4E3F" w:rsidP="00AD4E3F">
      <w:pPr>
        <w:ind w:left="720"/>
        <w:jc w:val="both"/>
        <w:rPr>
          <w:rFonts w:ascii="Garamond" w:hAnsi="Garamond" w:cs="Times New Roman"/>
        </w:rPr>
      </w:pPr>
    </w:p>
    <w:p w14:paraId="5A696A39" w14:textId="5A16B18A" w:rsidR="0090120A" w:rsidRPr="00765407" w:rsidRDefault="0090120A" w:rsidP="00AD4E3F">
      <w:pPr>
        <w:spacing w:line="360" w:lineRule="auto"/>
        <w:jc w:val="both"/>
        <w:rPr>
          <w:rFonts w:ascii="Garamond" w:hAnsi="Garamond" w:cs="Times New Roman"/>
        </w:rPr>
      </w:pPr>
      <w:r w:rsidRPr="00765407">
        <w:rPr>
          <w:rFonts w:ascii="Garamond" w:hAnsi="Garamond" w:cs="Times New Roman"/>
        </w:rPr>
        <w:t xml:space="preserve">By breaking with the hierarchical order of the monarchy, the democratic revolution established a new egalitarian social imaginary. It instituted a new discursive structure in which claims of equality could now be articulated, and therefore relations of hierarchical subordination could be seen as unnatural and unjust. </w:t>
      </w:r>
    </w:p>
    <w:p w14:paraId="071E1F82" w14:textId="59E0FBFA" w:rsidR="0090120A" w:rsidRPr="00765407" w:rsidRDefault="00AD4E3F" w:rsidP="00FA5791">
      <w:pPr>
        <w:spacing w:line="360" w:lineRule="auto"/>
        <w:ind w:firstLine="720"/>
        <w:jc w:val="both"/>
        <w:rPr>
          <w:rFonts w:ascii="Garamond" w:hAnsi="Garamond"/>
          <w:iCs/>
        </w:rPr>
      </w:pPr>
      <w:r>
        <w:rPr>
          <w:rFonts w:ascii="Garamond" w:hAnsi="Garamond" w:cs="Times New Roman"/>
        </w:rPr>
        <w:t>But w</w:t>
      </w:r>
      <w:r w:rsidR="0090120A" w:rsidRPr="00765407">
        <w:rPr>
          <w:rFonts w:ascii="Garamond" w:hAnsi="Garamond" w:cs="Times New Roman"/>
        </w:rPr>
        <w:t xml:space="preserve">hy do </w:t>
      </w:r>
      <w:proofErr w:type="spellStart"/>
      <w:r w:rsidR="0090120A" w:rsidRPr="00765407">
        <w:rPr>
          <w:rFonts w:ascii="Garamond" w:hAnsi="Garamond" w:cs="Times New Roman"/>
        </w:rPr>
        <w:t>Laclau</w:t>
      </w:r>
      <w:proofErr w:type="spellEnd"/>
      <w:r w:rsidR="0090120A" w:rsidRPr="00765407">
        <w:rPr>
          <w:rFonts w:ascii="Garamond" w:hAnsi="Garamond" w:cs="Times New Roman"/>
        </w:rPr>
        <w:t xml:space="preserve"> and </w:t>
      </w:r>
      <w:proofErr w:type="spellStart"/>
      <w:r w:rsidR="0090120A" w:rsidRPr="00765407">
        <w:rPr>
          <w:rFonts w:ascii="Garamond" w:hAnsi="Garamond" w:cs="Times New Roman"/>
        </w:rPr>
        <w:t>Mouffe</w:t>
      </w:r>
      <w:proofErr w:type="spellEnd"/>
      <w:r w:rsidR="0090120A" w:rsidRPr="00765407">
        <w:rPr>
          <w:rFonts w:ascii="Garamond" w:hAnsi="Garamond" w:cs="Times New Roman"/>
        </w:rPr>
        <w:t xml:space="preserve"> figure the democratic revolution as a discursive event? Why argue that the subversive power of democracy lays in its egalitarian discourse? The reason, I </w:t>
      </w:r>
      <w:r>
        <w:rPr>
          <w:rFonts w:ascii="Garamond" w:hAnsi="Garamond" w:cs="Times New Roman"/>
        </w:rPr>
        <w:t>propose</w:t>
      </w:r>
      <w:r w:rsidR="0090120A" w:rsidRPr="00765407">
        <w:rPr>
          <w:rFonts w:ascii="Garamond" w:hAnsi="Garamond" w:cs="Times New Roman"/>
        </w:rPr>
        <w:t>, is because</w:t>
      </w:r>
      <w:r>
        <w:rPr>
          <w:rFonts w:ascii="Garamond" w:hAnsi="Garamond" w:cs="Times New Roman"/>
        </w:rPr>
        <w:t>,</w:t>
      </w:r>
      <w:r w:rsidR="0090120A" w:rsidRPr="00765407">
        <w:rPr>
          <w:rFonts w:ascii="Garamond" w:hAnsi="Garamond" w:cs="Times New Roman"/>
        </w:rPr>
        <w:t xml:space="preserve"> drawing </w:t>
      </w:r>
      <w:r>
        <w:rPr>
          <w:rFonts w:ascii="Garamond" w:hAnsi="Garamond" w:cs="Times New Roman"/>
        </w:rPr>
        <w:t xml:space="preserve">on </w:t>
      </w:r>
      <w:proofErr w:type="spellStart"/>
      <w:r w:rsidR="0090120A" w:rsidRPr="00765407">
        <w:rPr>
          <w:rFonts w:ascii="Garamond" w:hAnsi="Garamond" w:cs="Times New Roman"/>
        </w:rPr>
        <w:t>Lefort’s</w:t>
      </w:r>
      <w:proofErr w:type="spellEnd"/>
      <w:r w:rsidR="0090120A" w:rsidRPr="00765407">
        <w:rPr>
          <w:rFonts w:ascii="Garamond" w:hAnsi="Garamond" w:cs="Times New Roman"/>
        </w:rPr>
        <w:t xml:space="preserve"> work, they put forward an account of the </w:t>
      </w:r>
      <w:r w:rsidR="0090120A" w:rsidRPr="00765407">
        <w:rPr>
          <w:rFonts w:ascii="Garamond" w:hAnsi="Garamond" w:cs="Times New Roman"/>
        </w:rPr>
        <w:t xml:space="preserve">democratic revolution </w:t>
      </w:r>
      <w:r>
        <w:rPr>
          <w:rFonts w:ascii="Garamond" w:hAnsi="Garamond" w:cs="Times New Roman"/>
        </w:rPr>
        <w:t>that</w:t>
      </w:r>
      <w:r w:rsidR="0090120A" w:rsidRPr="00765407">
        <w:rPr>
          <w:rFonts w:ascii="Garamond" w:hAnsi="Garamond" w:cs="Times New Roman"/>
        </w:rPr>
        <w:t xml:space="preserve"> entails the disembodiment of political power</w:t>
      </w:r>
      <w:r w:rsidR="0090120A" w:rsidRPr="00765407">
        <w:rPr>
          <w:rFonts w:ascii="Garamond" w:hAnsi="Garamond" w:cs="Times New Roman"/>
        </w:rPr>
        <w:t xml:space="preserve">. </w:t>
      </w:r>
      <w:r w:rsidR="0090120A" w:rsidRPr="00765407">
        <w:rPr>
          <w:rFonts w:ascii="Garamond" w:hAnsi="Garamond" w:cs="Arial"/>
          <w:color w:val="000000"/>
          <w:shd w:val="clear" w:color="auto" w:fill="FFFFFF"/>
        </w:rPr>
        <w:t xml:space="preserve">According to </w:t>
      </w:r>
      <w:proofErr w:type="spellStart"/>
      <w:r w:rsidR="0090120A" w:rsidRPr="00765407">
        <w:rPr>
          <w:rFonts w:ascii="Garamond" w:hAnsi="Garamond" w:cs="Arial"/>
          <w:color w:val="000000"/>
          <w:shd w:val="clear" w:color="auto" w:fill="FFFFFF"/>
        </w:rPr>
        <w:t>Lefort</w:t>
      </w:r>
      <w:proofErr w:type="spellEnd"/>
      <w:r w:rsidR="0090120A" w:rsidRPr="00765407">
        <w:rPr>
          <w:rFonts w:ascii="Garamond" w:hAnsi="Garamond" w:cs="Arial"/>
          <w:color w:val="000000"/>
          <w:shd w:val="clear" w:color="auto" w:fill="FFFFFF"/>
        </w:rPr>
        <w:t xml:space="preserve">, </w:t>
      </w:r>
      <w:r>
        <w:rPr>
          <w:rFonts w:ascii="Garamond" w:hAnsi="Garamond" w:cs="Times New Roman"/>
        </w:rPr>
        <w:t>p</w:t>
      </w:r>
      <w:r w:rsidR="0090120A" w:rsidRPr="00765407">
        <w:rPr>
          <w:rFonts w:ascii="Garamond" w:hAnsi="Garamond" w:cs="Times New Roman"/>
        </w:rPr>
        <w:t xml:space="preserve">rior to the democratic revolution, political power </w:t>
      </w:r>
      <w:proofErr w:type="gramStart"/>
      <w:r w:rsidR="0090120A" w:rsidRPr="00765407">
        <w:rPr>
          <w:rFonts w:ascii="Garamond" w:hAnsi="Garamond" w:cs="Times New Roman"/>
        </w:rPr>
        <w:t>was located in</w:t>
      </w:r>
      <w:proofErr w:type="gramEnd"/>
      <w:r w:rsidR="0090120A" w:rsidRPr="00765407">
        <w:rPr>
          <w:rFonts w:ascii="Garamond" w:hAnsi="Garamond" w:cs="Times New Roman"/>
        </w:rPr>
        <w:t xml:space="preserve"> and contained by the </w:t>
      </w:r>
      <w:r w:rsidR="0090120A" w:rsidRPr="00765407">
        <w:rPr>
          <w:rFonts w:ascii="Garamond" w:hAnsi="Garamond" w:cs="Times New Roman"/>
          <w:i/>
        </w:rPr>
        <w:t xml:space="preserve">materiality </w:t>
      </w:r>
      <w:r w:rsidR="0090120A" w:rsidRPr="00765407">
        <w:rPr>
          <w:rFonts w:ascii="Garamond" w:hAnsi="Garamond" w:cs="Times New Roman"/>
        </w:rPr>
        <w:t xml:space="preserve">of the king’s body. Turning </w:t>
      </w:r>
      <w:r w:rsidR="0090120A" w:rsidRPr="00765407">
        <w:rPr>
          <w:rFonts w:ascii="Garamond" w:hAnsi="Garamond" w:cs="Times New Roman"/>
          <w:lang w:val="en-GB"/>
        </w:rPr>
        <w:t>Er</w:t>
      </w:r>
      <w:proofErr w:type="spellStart"/>
      <w:r w:rsidR="0090120A" w:rsidRPr="00765407">
        <w:rPr>
          <w:rFonts w:ascii="Garamond" w:hAnsi="Garamond" w:cs="Times New Roman"/>
          <w:lang w:val="en-US"/>
        </w:rPr>
        <w:t>nst</w:t>
      </w:r>
      <w:proofErr w:type="spellEnd"/>
      <w:r w:rsidR="0090120A" w:rsidRPr="00765407">
        <w:rPr>
          <w:rFonts w:ascii="Garamond" w:hAnsi="Garamond" w:cs="Times New Roman"/>
          <w:lang w:val="en-US"/>
        </w:rPr>
        <w:t xml:space="preserve"> </w:t>
      </w:r>
      <w:proofErr w:type="spellStart"/>
      <w:proofErr w:type="gramStart"/>
      <w:r w:rsidR="0090120A" w:rsidRPr="00765407">
        <w:rPr>
          <w:rFonts w:ascii="Garamond" w:hAnsi="Garamond" w:cs="Times New Roman"/>
          <w:lang w:val="en-US"/>
        </w:rPr>
        <w:t>Kantorowicz</w:t>
      </w:r>
      <w:r>
        <w:rPr>
          <w:rFonts w:ascii="Garamond" w:hAnsi="Garamond" w:cs="Times New Roman"/>
          <w:lang w:val="en-US"/>
        </w:rPr>
        <w:t>’s</w:t>
      </w:r>
      <w:proofErr w:type="spellEnd"/>
      <w:proofErr w:type="gramEnd"/>
      <w:r>
        <w:rPr>
          <w:rFonts w:ascii="Garamond" w:hAnsi="Garamond" w:cs="Times New Roman"/>
          <w:lang w:val="en-US"/>
        </w:rPr>
        <w:t xml:space="preserve"> </w:t>
      </w:r>
      <w:r w:rsidR="0090120A" w:rsidRPr="00765407">
        <w:rPr>
          <w:rFonts w:ascii="Garamond" w:hAnsi="Garamond" w:cs="Times New Roman"/>
          <w:i/>
          <w:iCs/>
          <w:lang w:val="en-US"/>
        </w:rPr>
        <w:t>The King’s Two Bodies</w:t>
      </w:r>
      <w:r w:rsidR="0090120A" w:rsidRPr="00765407">
        <w:rPr>
          <w:rFonts w:ascii="Garamond" w:hAnsi="Garamond" w:cs="Times New Roman"/>
          <w:lang w:val="en-US"/>
        </w:rPr>
        <w:t xml:space="preserve">, </w:t>
      </w:r>
      <w:proofErr w:type="spellStart"/>
      <w:r w:rsidR="0090120A" w:rsidRPr="00765407">
        <w:rPr>
          <w:rFonts w:ascii="Garamond" w:hAnsi="Garamond" w:cs="Times New Roman"/>
          <w:lang w:val="en-US"/>
        </w:rPr>
        <w:t>Lefort</w:t>
      </w:r>
      <w:proofErr w:type="spellEnd"/>
      <w:r w:rsidR="0090120A" w:rsidRPr="00765407">
        <w:rPr>
          <w:rFonts w:ascii="Garamond" w:hAnsi="Garamond" w:cs="Times New Roman"/>
          <w:lang w:val="en-US"/>
        </w:rPr>
        <w:t xml:space="preserve"> argues that </w:t>
      </w:r>
      <w:r w:rsidR="0090120A" w:rsidRPr="00765407">
        <w:rPr>
          <w:rFonts w:ascii="Garamond" w:hAnsi="Garamond" w:cs="Times New Roman"/>
        </w:rPr>
        <w:t xml:space="preserve">“the society of the </w:t>
      </w:r>
      <w:proofErr w:type="spellStart"/>
      <w:r w:rsidR="0090120A" w:rsidRPr="00765407">
        <w:rPr>
          <w:rFonts w:ascii="Garamond" w:hAnsi="Garamond" w:cs="Times New Roman"/>
          <w:i/>
        </w:rPr>
        <w:t>ancien</w:t>
      </w:r>
      <w:proofErr w:type="spellEnd"/>
      <w:r w:rsidR="0090120A" w:rsidRPr="00765407">
        <w:rPr>
          <w:rFonts w:ascii="Garamond" w:hAnsi="Garamond" w:cs="Times New Roman"/>
          <w:i/>
        </w:rPr>
        <w:t xml:space="preserve"> regime </w:t>
      </w:r>
      <w:r w:rsidR="0090120A" w:rsidRPr="00765407">
        <w:rPr>
          <w:rFonts w:ascii="Garamond" w:hAnsi="Garamond" w:cs="Times New Roman"/>
        </w:rPr>
        <w:t>represented its unity and its identity to itself as that of a body – a body which found its figuration in the body of the king</w:t>
      </w:r>
      <w:r w:rsidR="0090120A" w:rsidRPr="00765407">
        <w:rPr>
          <w:rFonts w:ascii="Garamond" w:hAnsi="Garamond" w:cs="Times New Roman"/>
          <w:lang w:val="en-US"/>
        </w:rPr>
        <w:t>.</w:t>
      </w:r>
      <w:r w:rsidR="0090120A" w:rsidRPr="00765407">
        <w:rPr>
          <w:rFonts w:ascii="Garamond" w:hAnsi="Garamond" w:cs="Times New Roman"/>
        </w:rPr>
        <w:t xml:space="preserve">” What happens then in the democratic revolution is the rupture of the king’s two bodies. </w:t>
      </w:r>
      <w:r w:rsidR="0090120A" w:rsidRPr="00765407">
        <w:rPr>
          <w:rFonts w:ascii="Garamond" w:hAnsi="Garamond"/>
          <w:iCs/>
        </w:rPr>
        <w:t xml:space="preserve">“The democratic revolution,” </w:t>
      </w:r>
      <w:proofErr w:type="spellStart"/>
      <w:r w:rsidR="0090120A" w:rsidRPr="00765407">
        <w:rPr>
          <w:rFonts w:ascii="Garamond" w:hAnsi="Garamond"/>
          <w:iCs/>
        </w:rPr>
        <w:t>Lefort</w:t>
      </w:r>
      <w:proofErr w:type="spellEnd"/>
      <w:r w:rsidR="0090120A" w:rsidRPr="00765407">
        <w:rPr>
          <w:rFonts w:ascii="Garamond" w:hAnsi="Garamond"/>
          <w:iCs/>
        </w:rPr>
        <w:t xml:space="preserve"> writes, “burst out when the body of the king was destroyed, when the body politic was decapitated and when, at the same time, the corporeality of the social was dissolved </w:t>
      </w:r>
      <w:r>
        <w:rPr>
          <w:rFonts w:ascii="Garamond" w:hAnsi="Garamond"/>
          <w:iCs/>
        </w:rPr>
        <w:t>–</w:t>
      </w:r>
      <w:r w:rsidR="0090120A" w:rsidRPr="00765407">
        <w:rPr>
          <w:rFonts w:ascii="Garamond" w:hAnsi="Garamond"/>
          <w:iCs/>
        </w:rPr>
        <w:t xml:space="preserve"> There then occurred what I would call a ‘dis-incorporation’ of individuals.”</w:t>
      </w:r>
      <w:r w:rsidR="0090120A" w:rsidRPr="00765407">
        <w:rPr>
          <w:rStyle w:val="FootnoteReference"/>
          <w:rFonts w:ascii="Garamond" w:hAnsi="Garamond"/>
          <w:iCs/>
        </w:rPr>
        <w:footnoteReference w:id="32"/>
      </w:r>
      <w:r w:rsidR="0090120A" w:rsidRPr="00765407">
        <w:rPr>
          <w:rFonts w:ascii="Garamond" w:hAnsi="Garamond"/>
          <w:iCs/>
        </w:rPr>
        <w:t xml:space="preserve"> </w:t>
      </w:r>
      <w:r w:rsidR="0090120A" w:rsidRPr="00765407">
        <w:rPr>
          <w:rFonts w:ascii="Garamond" w:hAnsi="Garamond" w:cs="Times New Roman"/>
          <w:color w:val="000000"/>
          <w:shd w:val="clear" w:color="auto" w:fill="FFFFFF"/>
        </w:rPr>
        <w:t xml:space="preserve">Whereas monarchical power was incorporated in the body of the king, </w:t>
      </w:r>
      <w:r>
        <w:rPr>
          <w:rFonts w:ascii="Garamond" w:hAnsi="Garamond" w:cs="Times New Roman"/>
          <w:color w:val="000000"/>
          <w:shd w:val="clear" w:color="auto" w:fill="FFFFFF"/>
        </w:rPr>
        <w:t>democratic</w:t>
      </w:r>
      <w:r w:rsidR="0090120A" w:rsidRPr="00765407">
        <w:rPr>
          <w:rFonts w:ascii="Garamond" w:hAnsi="Garamond" w:cs="Times New Roman"/>
          <w:color w:val="000000"/>
          <w:shd w:val="clear" w:color="auto" w:fill="FFFFFF"/>
        </w:rPr>
        <w:t xml:space="preserve"> power is disincorporated, since no singular body can inhabit </w:t>
      </w:r>
      <w:r>
        <w:rPr>
          <w:rFonts w:ascii="Garamond" w:hAnsi="Garamond" w:cs="Times New Roman"/>
          <w:color w:val="000000"/>
          <w:shd w:val="clear" w:color="auto" w:fill="FFFFFF"/>
        </w:rPr>
        <w:t xml:space="preserve">the </w:t>
      </w:r>
      <w:r w:rsidR="0090120A" w:rsidRPr="00765407">
        <w:rPr>
          <w:rFonts w:ascii="Garamond" w:hAnsi="Garamond" w:cs="Times New Roman"/>
          <w:color w:val="000000"/>
          <w:shd w:val="clear" w:color="auto" w:fill="FFFFFF"/>
        </w:rPr>
        <w:t>power</w:t>
      </w:r>
      <w:r>
        <w:rPr>
          <w:rFonts w:ascii="Garamond" w:hAnsi="Garamond" w:cs="Times New Roman"/>
          <w:color w:val="000000"/>
          <w:shd w:val="clear" w:color="auto" w:fill="FFFFFF"/>
        </w:rPr>
        <w:t xml:space="preserve"> and authority of ‘The People.’</w:t>
      </w:r>
      <w:r w:rsidR="0090120A" w:rsidRPr="00765407">
        <w:rPr>
          <w:rFonts w:ascii="Garamond" w:hAnsi="Garamond" w:cs="Times New Roman"/>
          <w:color w:val="000000"/>
          <w:shd w:val="clear" w:color="auto" w:fill="FFFFFF"/>
        </w:rPr>
        <w:t xml:space="preserve"> As such, power is “</w:t>
      </w:r>
      <w:r w:rsidR="0090120A" w:rsidRPr="00765407">
        <w:rPr>
          <w:rFonts w:ascii="Garamond" w:hAnsi="Garamond" w:cs="Times New Roman"/>
          <w:iCs/>
        </w:rPr>
        <w:t xml:space="preserve">an empty place, impossible to occupy, such that </w:t>
      </w:r>
      <w:r w:rsidR="0090120A" w:rsidRPr="00765407">
        <w:rPr>
          <w:rFonts w:ascii="Garamond" w:hAnsi="Garamond" w:cs="Times New Roman"/>
          <w:iCs/>
        </w:rPr>
        <w:lastRenderedPageBreak/>
        <w:t>those who exercise public authority can never claim to appropriate it.”</w:t>
      </w:r>
      <w:r w:rsidR="0090120A" w:rsidRPr="00765407">
        <w:rPr>
          <w:rStyle w:val="FootnoteReference"/>
          <w:rFonts w:ascii="Garamond" w:hAnsi="Garamond"/>
          <w:iCs/>
        </w:rPr>
        <w:footnoteReference w:id="33"/>
      </w:r>
      <w:r w:rsidR="0090120A" w:rsidRPr="00765407">
        <w:rPr>
          <w:rFonts w:ascii="Garamond" w:hAnsi="Garamond" w:cs="Times New Roman"/>
          <w:iCs/>
        </w:rPr>
        <w:t xml:space="preserve"> Drawing on</w:t>
      </w:r>
      <w:r w:rsidR="0090120A" w:rsidRPr="00765407">
        <w:rPr>
          <w:rFonts w:ascii="Garamond" w:hAnsi="Garamond" w:cs="Times New Roman"/>
        </w:rPr>
        <w:t xml:space="preserve"> </w:t>
      </w:r>
      <w:proofErr w:type="spellStart"/>
      <w:r w:rsidR="0090120A" w:rsidRPr="00765407">
        <w:rPr>
          <w:rFonts w:ascii="Garamond" w:hAnsi="Garamond" w:cs="Times New Roman"/>
        </w:rPr>
        <w:t>Lefort’s</w:t>
      </w:r>
      <w:proofErr w:type="spellEnd"/>
      <w:r w:rsidR="0090120A" w:rsidRPr="00765407">
        <w:rPr>
          <w:rFonts w:ascii="Garamond" w:hAnsi="Garamond" w:cs="Times New Roman"/>
        </w:rPr>
        <w:t xml:space="preserve"> concept of the “empty space,” </w:t>
      </w:r>
      <w:proofErr w:type="spellStart"/>
      <w:r w:rsidR="0090120A" w:rsidRPr="00765407">
        <w:rPr>
          <w:rFonts w:ascii="Garamond" w:hAnsi="Garamond" w:cs="Times New Roman"/>
        </w:rPr>
        <w:t>Laclau</w:t>
      </w:r>
      <w:proofErr w:type="spellEnd"/>
      <w:r w:rsidR="0090120A" w:rsidRPr="00765407">
        <w:rPr>
          <w:rFonts w:ascii="Garamond" w:hAnsi="Garamond" w:cs="Times New Roman"/>
        </w:rPr>
        <w:t xml:space="preserve"> and </w:t>
      </w:r>
      <w:proofErr w:type="spellStart"/>
      <w:r w:rsidR="0090120A" w:rsidRPr="00765407">
        <w:rPr>
          <w:rFonts w:ascii="Garamond" w:hAnsi="Garamond" w:cs="Times New Roman"/>
        </w:rPr>
        <w:t>Mouffe</w:t>
      </w:r>
      <w:proofErr w:type="spellEnd"/>
      <w:r w:rsidR="0090120A" w:rsidRPr="00765407">
        <w:rPr>
          <w:rFonts w:ascii="Garamond" w:hAnsi="Garamond" w:cs="Times New Roman"/>
        </w:rPr>
        <w:t xml:space="preserve"> argue that “The radical difference which democratic society introduces is that the site of power becomes an empty space”</w:t>
      </w:r>
      <w:r>
        <w:rPr>
          <w:rFonts w:ascii="Garamond" w:hAnsi="Garamond" w:cs="Times New Roman"/>
        </w:rPr>
        <w:t xml:space="preserve"> (186).</w:t>
      </w:r>
      <w:r w:rsidR="0090120A" w:rsidRPr="00765407">
        <w:rPr>
          <w:rFonts w:ascii="Garamond" w:hAnsi="Garamond" w:cs="Times New Roman"/>
          <w:iCs/>
        </w:rPr>
        <w:t xml:space="preserve"> In contrast to the </w:t>
      </w:r>
      <w:r w:rsidR="0090120A" w:rsidRPr="00765407">
        <w:rPr>
          <w:rFonts w:ascii="Garamond" w:hAnsi="Garamond" w:cs="Times New Roman"/>
        </w:rPr>
        <w:t>monarchical world</w:t>
      </w:r>
      <w:r w:rsidR="0090120A" w:rsidRPr="00765407">
        <w:rPr>
          <w:rFonts w:ascii="Garamond" w:hAnsi="Garamond" w:cs="Times New Roman"/>
        </w:rPr>
        <w:t xml:space="preserve"> in</w:t>
      </w:r>
      <w:r>
        <w:rPr>
          <w:rFonts w:ascii="Garamond" w:hAnsi="Garamond" w:cs="Times New Roman"/>
        </w:rPr>
        <w:t xml:space="preserve"> which</w:t>
      </w:r>
      <w:r w:rsidR="0090120A" w:rsidRPr="00765407">
        <w:rPr>
          <w:rFonts w:ascii="Garamond" w:hAnsi="Garamond" w:cs="Times New Roman"/>
        </w:rPr>
        <w:t xml:space="preserve"> power was incorporated in the person of the king, </w:t>
      </w:r>
      <w:r w:rsidR="0090120A" w:rsidRPr="00765407">
        <w:rPr>
          <w:rFonts w:ascii="Garamond" w:hAnsi="Garamond" w:cs="Times New Roman"/>
        </w:rPr>
        <w:t xml:space="preserve">political in democracy is no longer incorporated in any person. As </w:t>
      </w:r>
      <w:proofErr w:type="spellStart"/>
      <w:r w:rsidR="0090120A" w:rsidRPr="00765407">
        <w:rPr>
          <w:rFonts w:ascii="Garamond" w:hAnsi="Garamond" w:cs="Times New Roman"/>
        </w:rPr>
        <w:t>Lefort</w:t>
      </w:r>
      <w:proofErr w:type="spellEnd"/>
      <w:r w:rsidR="0090120A" w:rsidRPr="00765407">
        <w:rPr>
          <w:rFonts w:ascii="Garamond" w:hAnsi="Garamond" w:cs="Times New Roman"/>
        </w:rPr>
        <w:t xml:space="preserve"> puts it, </w:t>
      </w:r>
      <w:r w:rsidR="0090120A" w:rsidRPr="00765407">
        <w:rPr>
          <w:rFonts w:ascii="Garamond" w:hAnsi="Garamond" w:cs="Times New Roman"/>
          <w:iCs/>
        </w:rPr>
        <w:t>“there is no power linked to a body,” and as such, democracy is a regime of “disincorporation.”</w:t>
      </w:r>
      <w:r w:rsidR="0090120A" w:rsidRPr="00765407">
        <w:rPr>
          <w:rStyle w:val="FootnoteReference"/>
          <w:rFonts w:ascii="Garamond" w:hAnsi="Garamond"/>
          <w:iCs/>
        </w:rPr>
        <w:footnoteReference w:id="34"/>
      </w:r>
      <w:r w:rsidR="0090120A" w:rsidRPr="00765407">
        <w:rPr>
          <w:rFonts w:ascii="Garamond" w:hAnsi="Garamond"/>
          <w:iCs/>
        </w:rPr>
        <w:t xml:space="preserve"> </w:t>
      </w:r>
    </w:p>
    <w:p w14:paraId="246D9F87" w14:textId="738AA8E0" w:rsidR="0090120A" w:rsidRPr="00765407" w:rsidRDefault="0090120A" w:rsidP="00FA5791">
      <w:pPr>
        <w:spacing w:line="360" w:lineRule="auto"/>
        <w:ind w:firstLine="720"/>
        <w:jc w:val="both"/>
        <w:rPr>
          <w:rFonts w:ascii="Garamond" w:hAnsi="Garamond"/>
          <w:iCs/>
        </w:rPr>
      </w:pPr>
      <w:r w:rsidRPr="00765407">
        <w:rPr>
          <w:rFonts w:ascii="Garamond" w:hAnsi="Garamond" w:cs="Arial"/>
          <w:color w:val="000000"/>
          <w:shd w:val="clear" w:color="auto" w:fill="FFFFFF"/>
        </w:rPr>
        <w:t xml:space="preserve">For </w:t>
      </w:r>
      <w:proofErr w:type="spellStart"/>
      <w:r w:rsidRPr="00765407">
        <w:rPr>
          <w:rFonts w:ascii="Garamond" w:hAnsi="Garamond" w:cs="Arial"/>
          <w:color w:val="000000"/>
          <w:shd w:val="clear" w:color="auto" w:fill="FFFFFF"/>
        </w:rPr>
        <w:t>Lefort</w:t>
      </w:r>
      <w:proofErr w:type="spellEnd"/>
      <w:r w:rsidRPr="00765407">
        <w:rPr>
          <w:rFonts w:ascii="Garamond" w:hAnsi="Garamond" w:cs="Arial"/>
          <w:color w:val="000000"/>
          <w:shd w:val="clear" w:color="auto" w:fill="FFFFFF"/>
        </w:rPr>
        <w:t xml:space="preserve">, this rupture of the king’s two bodies split apart the symbolic domain of political power from the material domain of the body. </w:t>
      </w:r>
      <w:r w:rsidR="00AD4E3F">
        <w:rPr>
          <w:rFonts w:ascii="Garamond" w:hAnsi="Garamond" w:cs="Arial"/>
          <w:color w:val="000000"/>
          <w:shd w:val="clear" w:color="auto" w:fill="FFFFFF"/>
        </w:rPr>
        <w:t xml:space="preserve">As </w:t>
      </w:r>
      <w:proofErr w:type="spellStart"/>
      <w:r w:rsidR="00AD4E3F">
        <w:rPr>
          <w:rFonts w:ascii="Garamond" w:hAnsi="Garamond" w:cs="Arial"/>
          <w:color w:val="000000"/>
          <w:shd w:val="clear" w:color="auto" w:fill="FFFFFF"/>
        </w:rPr>
        <w:t>Lefort</w:t>
      </w:r>
      <w:proofErr w:type="spellEnd"/>
      <w:r w:rsidR="00AD4E3F">
        <w:rPr>
          <w:rFonts w:ascii="Garamond" w:hAnsi="Garamond" w:cs="Arial"/>
          <w:color w:val="000000"/>
          <w:shd w:val="clear" w:color="auto" w:fill="FFFFFF"/>
        </w:rPr>
        <w:t xml:space="preserve"> writes, t</w:t>
      </w:r>
      <w:r w:rsidRPr="00765407">
        <w:rPr>
          <w:rFonts w:ascii="Garamond" w:hAnsi="Garamond" w:cs="Arial"/>
          <w:color w:val="000000"/>
          <w:shd w:val="clear" w:color="auto" w:fill="FFFFFF"/>
        </w:rPr>
        <w:t>he democratic revolution took place through “</w:t>
      </w:r>
      <w:r w:rsidRPr="00765407">
        <w:rPr>
          <w:rFonts w:ascii="Garamond" w:hAnsi="Garamond"/>
          <w:iCs/>
        </w:rPr>
        <w:t>the destruction of the architecture of bodies.”</w:t>
      </w:r>
      <w:r w:rsidRPr="00765407">
        <w:rPr>
          <w:rStyle w:val="FootnoteReference"/>
          <w:rFonts w:ascii="Garamond" w:hAnsi="Garamond"/>
          <w:iCs/>
        </w:rPr>
        <w:footnoteReference w:id="35"/>
      </w:r>
      <w:r w:rsidRPr="00765407">
        <w:rPr>
          <w:rFonts w:ascii="Garamond" w:hAnsi="Garamond"/>
          <w:iCs/>
        </w:rPr>
        <w:t xml:space="preserve"> In a democratic society, </w:t>
      </w:r>
      <w:r w:rsidRPr="00765407">
        <w:rPr>
          <w:rFonts w:ascii="Garamond" w:hAnsi="Garamond" w:cs="Times New Roman"/>
          <w:iCs/>
        </w:rPr>
        <w:t>“</w:t>
      </w:r>
      <w:r w:rsidRPr="00765407">
        <w:rPr>
          <w:rFonts w:ascii="Garamond" w:hAnsi="Garamond" w:cs="Times New Roman"/>
        </w:rPr>
        <w:t>the figure of power in its materiality and its substantiality disappears,”</w:t>
      </w:r>
      <w:r w:rsidRPr="00765407">
        <w:rPr>
          <w:rStyle w:val="FootnoteReference"/>
          <w:rFonts w:ascii="Garamond" w:hAnsi="Garamond"/>
        </w:rPr>
        <w:t xml:space="preserve"> </w:t>
      </w:r>
      <w:r w:rsidRPr="00765407">
        <w:rPr>
          <w:rFonts w:ascii="Garamond" w:hAnsi="Garamond" w:cs="Times New Roman"/>
        </w:rPr>
        <w:t xml:space="preserve">and </w:t>
      </w:r>
      <w:proofErr w:type="spellStart"/>
      <w:r w:rsidR="00AD4E3F">
        <w:rPr>
          <w:rFonts w:ascii="Garamond" w:hAnsi="Garamond" w:cs="Times New Roman"/>
        </w:rPr>
        <w:t>Lefort</w:t>
      </w:r>
      <w:proofErr w:type="spellEnd"/>
      <w:r w:rsidRPr="00765407">
        <w:rPr>
          <w:rFonts w:ascii="Garamond" w:hAnsi="Garamond" w:cs="Times New Roman"/>
        </w:rPr>
        <w:t xml:space="preserve"> describes power </w:t>
      </w:r>
      <w:r w:rsidRPr="00765407">
        <w:rPr>
          <w:rFonts w:ascii="Garamond" w:hAnsi="Garamond"/>
          <w:iCs/>
        </w:rPr>
        <w:t>“as being purely symbolic.”</w:t>
      </w:r>
      <w:r w:rsidRPr="00765407">
        <w:rPr>
          <w:rStyle w:val="FootnoteReference"/>
          <w:rFonts w:ascii="Garamond" w:hAnsi="Garamond"/>
          <w:iCs/>
        </w:rPr>
        <w:footnoteReference w:id="36"/>
      </w:r>
      <w:r w:rsidRPr="00765407">
        <w:rPr>
          <w:rFonts w:ascii="Garamond" w:hAnsi="Garamond"/>
          <w:iCs/>
        </w:rPr>
        <w:t xml:space="preserve"> </w:t>
      </w:r>
      <w:r w:rsidRPr="00765407">
        <w:rPr>
          <w:rFonts w:ascii="Garamond" w:hAnsi="Garamond" w:cs="Times New Roman"/>
          <w:iCs/>
        </w:rPr>
        <w:t>Democracy is the only regime, he writes, “</w:t>
      </w:r>
      <w:r w:rsidRPr="00765407">
        <w:rPr>
          <w:rFonts w:ascii="Garamond" w:hAnsi="Garamond" w:cs="Times New Roman"/>
        </w:rPr>
        <w:t xml:space="preserve">to have represented power in such a way as to show that power is an empty place and to have thereby maintained a gap between the symbolic and the real,” a gap, that is, between </w:t>
      </w:r>
      <w:r w:rsidRPr="00765407">
        <w:rPr>
          <w:rFonts w:ascii="Garamond" w:hAnsi="Garamond" w:cs="Times New Roman"/>
          <w:iCs/>
        </w:rPr>
        <w:t>“symbolic power” and “its empirical determinations.</w:t>
      </w:r>
      <w:r w:rsidRPr="00765407">
        <w:rPr>
          <w:rFonts w:ascii="Garamond" w:hAnsi="Garamond"/>
          <w:iCs/>
        </w:rPr>
        <w:t>”</w:t>
      </w:r>
      <w:r w:rsidRPr="00765407">
        <w:rPr>
          <w:rStyle w:val="FootnoteReference"/>
          <w:rFonts w:ascii="Garamond" w:hAnsi="Garamond"/>
          <w:iCs/>
        </w:rPr>
        <w:footnoteReference w:id="37"/>
      </w:r>
      <w:r w:rsidRPr="00765407">
        <w:rPr>
          <w:rFonts w:ascii="Garamond" w:hAnsi="Garamond"/>
          <w:iCs/>
        </w:rPr>
        <w:t xml:space="preserve"> As an empty place, then, the power of the people can be </w:t>
      </w:r>
      <w:r w:rsidRPr="00765407">
        <w:rPr>
          <w:rFonts w:ascii="Garamond" w:hAnsi="Garamond"/>
          <w:iCs/>
        </w:rPr>
        <w:t>briefly</w:t>
      </w:r>
      <w:r w:rsidRPr="00765407">
        <w:rPr>
          <w:rFonts w:ascii="Garamond" w:hAnsi="Garamond"/>
          <w:iCs/>
        </w:rPr>
        <w:t xml:space="preserve"> </w:t>
      </w:r>
      <w:r w:rsidRPr="00765407">
        <w:rPr>
          <w:rFonts w:ascii="Garamond" w:hAnsi="Garamond"/>
          <w:iCs/>
        </w:rPr>
        <w:t>embodied</w:t>
      </w:r>
      <w:r w:rsidR="00AD4E3F">
        <w:rPr>
          <w:rFonts w:ascii="Garamond" w:hAnsi="Garamond"/>
          <w:iCs/>
        </w:rPr>
        <w:t xml:space="preserve">, but its representatives do </w:t>
      </w:r>
      <w:r w:rsidRPr="00765407">
        <w:rPr>
          <w:rFonts w:ascii="Garamond" w:hAnsi="Garamond"/>
          <w:iCs/>
        </w:rPr>
        <w:t>not incorporate power, since its exercise remains temporary until the next election.</w:t>
      </w:r>
      <w:r w:rsidRPr="00765407">
        <w:rPr>
          <w:rStyle w:val="FootnoteReference"/>
          <w:rFonts w:ascii="Garamond" w:hAnsi="Garamond"/>
          <w:iCs/>
        </w:rPr>
        <w:footnoteReference w:id="38"/>
      </w:r>
    </w:p>
    <w:p w14:paraId="29AB5FF2" w14:textId="58535D65" w:rsidR="0090120A" w:rsidRPr="00765407" w:rsidRDefault="0090120A" w:rsidP="00FA5791">
      <w:pPr>
        <w:spacing w:line="360" w:lineRule="auto"/>
        <w:ind w:firstLine="720"/>
        <w:jc w:val="both"/>
        <w:rPr>
          <w:rFonts w:ascii="Garamond" w:hAnsi="Garamond"/>
          <w:iCs/>
        </w:rPr>
      </w:pPr>
      <w:r w:rsidRPr="00765407">
        <w:rPr>
          <w:rFonts w:ascii="Garamond" w:hAnsi="Garamond"/>
          <w:iCs/>
        </w:rPr>
        <w:t xml:space="preserve">As the intellectual background of </w:t>
      </w:r>
      <w:proofErr w:type="spellStart"/>
      <w:r w:rsidRPr="00765407">
        <w:rPr>
          <w:rFonts w:ascii="Garamond" w:hAnsi="Garamond"/>
          <w:iCs/>
        </w:rPr>
        <w:t>Laclua</w:t>
      </w:r>
      <w:proofErr w:type="spellEnd"/>
      <w:r w:rsidRPr="00765407">
        <w:rPr>
          <w:rFonts w:ascii="Garamond" w:hAnsi="Garamond"/>
          <w:iCs/>
        </w:rPr>
        <w:t xml:space="preserve"> and </w:t>
      </w:r>
      <w:proofErr w:type="spellStart"/>
      <w:r w:rsidRPr="00765407">
        <w:rPr>
          <w:rFonts w:ascii="Garamond" w:hAnsi="Garamond"/>
          <w:iCs/>
        </w:rPr>
        <w:t>Mouffe’s</w:t>
      </w:r>
      <w:proofErr w:type="spellEnd"/>
      <w:r w:rsidRPr="00765407">
        <w:rPr>
          <w:rFonts w:ascii="Garamond" w:hAnsi="Garamond"/>
          <w:iCs/>
        </w:rPr>
        <w:t xml:space="preserve"> radical democra</w:t>
      </w:r>
      <w:r w:rsidR="00AD4E3F">
        <w:rPr>
          <w:rFonts w:ascii="Garamond" w:hAnsi="Garamond"/>
          <w:iCs/>
        </w:rPr>
        <w:t>tic project</w:t>
      </w:r>
      <w:r w:rsidRPr="00765407">
        <w:rPr>
          <w:rFonts w:ascii="Garamond" w:hAnsi="Garamond"/>
          <w:iCs/>
        </w:rPr>
        <w:t xml:space="preserve">, </w:t>
      </w:r>
      <w:proofErr w:type="spellStart"/>
      <w:r w:rsidRPr="00765407">
        <w:rPr>
          <w:rFonts w:ascii="Garamond" w:hAnsi="Garamond"/>
          <w:iCs/>
        </w:rPr>
        <w:t>Lefort’s</w:t>
      </w:r>
      <w:proofErr w:type="spellEnd"/>
      <w:r w:rsidRPr="00765407">
        <w:rPr>
          <w:rFonts w:ascii="Garamond" w:hAnsi="Garamond"/>
          <w:iCs/>
        </w:rPr>
        <w:t xml:space="preserve"> vision of the democratic revolution describes an event that </w:t>
      </w:r>
      <w:r w:rsidRPr="00765407">
        <w:rPr>
          <w:rFonts w:ascii="Garamond" w:hAnsi="Garamond" w:cs="Times New Roman"/>
          <w:lang w:val="en-US"/>
        </w:rPr>
        <w:t>that not only inaugurates a new discursive structure</w:t>
      </w:r>
      <w:r w:rsidR="00AD4E3F">
        <w:rPr>
          <w:rFonts w:ascii="Garamond" w:hAnsi="Garamond" w:cs="Times New Roman"/>
          <w:lang w:val="en-US"/>
        </w:rPr>
        <w:t xml:space="preserve"> of equality</w:t>
      </w:r>
      <w:r w:rsidRPr="00765407">
        <w:rPr>
          <w:rFonts w:ascii="Garamond" w:hAnsi="Garamond" w:cs="Times New Roman"/>
          <w:lang w:val="en-US"/>
        </w:rPr>
        <w:t xml:space="preserve"> but inaugurates the hegemonic power of discourse as such. </w:t>
      </w:r>
      <w:r w:rsidRPr="00765407">
        <w:rPr>
          <w:rFonts w:ascii="Garamond" w:hAnsi="Garamond"/>
          <w:iCs/>
        </w:rPr>
        <w:t xml:space="preserve">Whereas </w:t>
      </w:r>
      <w:proofErr w:type="spellStart"/>
      <w:r w:rsidRPr="00765407">
        <w:rPr>
          <w:rFonts w:ascii="Garamond" w:hAnsi="Garamond"/>
          <w:iCs/>
        </w:rPr>
        <w:t>Lefort</w:t>
      </w:r>
      <w:proofErr w:type="spellEnd"/>
      <w:r w:rsidRPr="00765407">
        <w:rPr>
          <w:rFonts w:ascii="Garamond" w:hAnsi="Garamond"/>
          <w:iCs/>
        </w:rPr>
        <w:t xml:space="preserve"> believes that democracy emerges in an event of rupture when revolutionaries beheaded a king and Habermas claims that democracy results from the slow growth of a public sphere of equals, both theorists conceive of democracy in opposition to a monarchical regime that consolidated power in the king’s body. Given this historiographical flight away from the empirical domain of the king’s material body and towards an abstract symbolic domain, it is unsurprising that both radical democra</w:t>
      </w:r>
      <w:r w:rsidR="007A25BE">
        <w:rPr>
          <w:rFonts w:ascii="Garamond" w:hAnsi="Garamond"/>
          <w:iCs/>
        </w:rPr>
        <w:t>t</w:t>
      </w:r>
      <w:r w:rsidRPr="00765407">
        <w:rPr>
          <w:rFonts w:ascii="Garamond" w:hAnsi="Garamond"/>
          <w:iCs/>
        </w:rPr>
        <w:t>s and deliberative democrats have turned to theorize discourse and language as the primary arena of democratic politics.</w:t>
      </w:r>
      <w:r w:rsidRPr="00765407">
        <w:rPr>
          <w:rStyle w:val="FootnoteReference"/>
          <w:rFonts w:ascii="Garamond" w:hAnsi="Garamond"/>
          <w:iCs/>
        </w:rPr>
        <w:footnoteReference w:id="39"/>
      </w:r>
      <w:r w:rsidRPr="00765407">
        <w:rPr>
          <w:rFonts w:ascii="Garamond" w:hAnsi="Garamond"/>
          <w:iCs/>
        </w:rPr>
        <w:t xml:space="preserve"> The democratic regimes that emerged in the bourgeois societies of the 18</w:t>
      </w:r>
      <w:r w:rsidRPr="00765407">
        <w:rPr>
          <w:rFonts w:ascii="Garamond" w:hAnsi="Garamond"/>
          <w:iCs/>
          <w:vertAlign w:val="superscript"/>
        </w:rPr>
        <w:t>th</w:t>
      </w:r>
      <w:r w:rsidRPr="00765407">
        <w:rPr>
          <w:rFonts w:ascii="Garamond" w:hAnsi="Garamond"/>
          <w:iCs/>
        </w:rPr>
        <w:t xml:space="preserve"> century sentenced the material body to irrelevance. The body, it seems, no longer seems to play a role in the composition of political power. Instead, public opinion, </w:t>
      </w:r>
      <w:r w:rsidRPr="00765407">
        <w:rPr>
          <w:rFonts w:ascii="Garamond" w:hAnsi="Garamond"/>
          <w:iCs/>
        </w:rPr>
        <w:lastRenderedPageBreak/>
        <w:t>speech, and the symbolic activities of discourse now constitute the definitive features of democratic politics</w:t>
      </w:r>
      <w:r w:rsidR="007A25BE">
        <w:rPr>
          <w:rFonts w:ascii="Garamond" w:hAnsi="Garamond"/>
          <w:iCs/>
        </w:rPr>
        <w:t xml:space="preserve">, and as a result, the archive of democratic theorists. </w:t>
      </w:r>
    </w:p>
    <w:p w14:paraId="2E8C96B7" w14:textId="77777777" w:rsidR="0090120A" w:rsidRPr="00765407" w:rsidRDefault="0090120A" w:rsidP="00FA5791">
      <w:pPr>
        <w:pStyle w:val="ListParagraph"/>
        <w:numPr>
          <w:ilvl w:val="0"/>
          <w:numId w:val="6"/>
        </w:numPr>
        <w:spacing w:line="360" w:lineRule="auto"/>
        <w:jc w:val="both"/>
        <w:rPr>
          <w:rFonts w:ascii="Garamond" w:hAnsi="Garamond"/>
          <w:i/>
        </w:rPr>
      </w:pPr>
      <w:r w:rsidRPr="00765407">
        <w:rPr>
          <w:rFonts w:ascii="Garamond" w:hAnsi="Garamond"/>
          <w:i/>
        </w:rPr>
        <w:t>Feminist Rejoinder</w:t>
      </w:r>
    </w:p>
    <w:p w14:paraId="0D3035B2" w14:textId="5B566881" w:rsidR="00D2747C" w:rsidRPr="00765407" w:rsidRDefault="00D2747C" w:rsidP="00FA5791">
      <w:pPr>
        <w:spacing w:line="360" w:lineRule="auto"/>
        <w:ind w:firstLine="720"/>
        <w:jc w:val="both"/>
        <w:rPr>
          <w:rFonts w:ascii="Garamond" w:hAnsi="Garamond"/>
          <w:iCs/>
        </w:rPr>
      </w:pPr>
      <w:r w:rsidRPr="00765407">
        <w:rPr>
          <w:rFonts w:ascii="Garamond" w:hAnsi="Garamond"/>
          <w:iCs/>
        </w:rPr>
        <w:t>In the late 20</w:t>
      </w:r>
      <w:r w:rsidRPr="00765407">
        <w:rPr>
          <w:rFonts w:ascii="Garamond" w:hAnsi="Garamond"/>
          <w:iCs/>
          <w:vertAlign w:val="superscript"/>
        </w:rPr>
        <w:t>th</w:t>
      </w:r>
      <w:r w:rsidRPr="00765407">
        <w:rPr>
          <w:rFonts w:ascii="Garamond" w:hAnsi="Garamond"/>
          <w:iCs/>
        </w:rPr>
        <w:t xml:space="preserve"> century, feminist critiques of democratic historiography argued that the body did not disappear so much as was repressed and that this repression played a constitutive role in democracy’s formation. </w:t>
      </w:r>
      <w:r w:rsidRPr="00765407">
        <w:rPr>
          <w:rFonts w:ascii="Garamond" w:hAnsi="Garamond"/>
        </w:rPr>
        <w:t>To critique a political structure where the family served as the basic unit of society and ancestry determined one’s place in the social hierarchy, social contract theorists elaborated a concept of the free and equal individual as a revolutionary alternative to a political system based on noble lineage and blood lines descending from the king.</w:t>
      </w:r>
      <w:r w:rsidRPr="00765407">
        <w:rPr>
          <w:rFonts w:ascii="Garamond" w:hAnsi="Garamond"/>
          <w:iCs/>
        </w:rPr>
        <w:t xml:space="preserve"> </w:t>
      </w:r>
      <w:r w:rsidRPr="00765407">
        <w:rPr>
          <w:rFonts w:ascii="Garamond" w:hAnsi="Garamond"/>
          <w:color w:val="000000" w:themeColor="text1"/>
        </w:rPr>
        <w:t xml:space="preserve">In her ground-breaking work </w:t>
      </w:r>
      <w:r w:rsidRPr="00765407">
        <w:rPr>
          <w:rFonts w:ascii="Garamond" w:hAnsi="Garamond"/>
          <w:i/>
          <w:iCs/>
          <w:color w:val="000000" w:themeColor="text1"/>
        </w:rPr>
        <w:t>The Sexual Contract,</w:t>
      </w:r>
      <w:r w:rsidRPr="00765407">
        <w:rPr>
          <w:rFonts w:ascii="Garamond" w:hAnsi="Garamond"/>
          <w:color w:val="000000" w:themeColor="text1"/>
        </w:rPr>
        <w:t xml:space="preserve"> Carole Pateman showed how relations of equality elaborated by social contract theorists relied on a fraternal pact granting men patriarchal control over women by splitting society into a public sphere of civic freedom accessible only to men and a private familial sphere to which women were relegated. </w:t>
      </w:r>
      <w:r w:rsidRPr="00765407">
        <w:rPr>
          <w:rFonts w:ascii="Garamond" w:hAnsi="Garamond"/>
          <w:lang w:val="en-US"/>
        </w:rPr>
        <w:t xml:space="preserve">As Pateman writes, within a liberal political theory dating back to the social contract tradition, </w:t>
      </w:r>
      <w:r w:rsidRPr="00765407">
        <w:rPr>
          <w:rFonts w:ascii="Garamond" w:hAnsi="Garamond"/>
        </w:rPr>
        <w:t>“</w:t>
      </w:r>
      <w:r w:rsidRPr="00765407">
        <w:rPr>
          <w:rFonts w:ascii="Garamond" w:hAnsi="Garamond"/>
          <w:lang w:val="en-US"/>
        </w:rPr>
        <w:t xml:space="preserve">only masculine beings are endowed with the attributes and capacities necessary to </w:t>
      </w:r>
      <w:proofErr w:type="gramStart"/>
      <w:r w:rsidRPr="00765407">
        <w:rPr>
          <w:rFonts w:ascii="Garamond" w:hAnsi="Garamond"/>
          <w:lang w:val="en-US"/>
        </w:rPr>
        <w:t>enter into</w:t>
      </w:r>
      <w:proofErr w:type="gramEnd"/>
      <w:r w:rsidRPr="00765407">
        <w:rPr>
          <w:rFonts w:ascii="Garamond" w:hAnsi="Garamond"/>
          <w:lang w:val="en-US"/>
        </w:rPr>
        <w:t xml:space="preserve"> contracts …  only men</w:t>
      </w:r>
      <w:proofErr w:type="gramStart"/>
      <w:r w:rsidRPr="00765407">
        <w:rPr>
          <w:rFonts w:ascii="Garamond" w:hAnsi="Garamond"/>
          <w:lang w:val="en-US"/>
        </w:rPr>
        <w:t>, that is to say, are</w:t>
      </w:r>
      <w:proofErr w:type="gramEnd"/>
      <w:r w:rsidRPr="00765407">
        <w:rPr>
          <w:rFonts w:ascii="Garamond" w:hAnsi="Garamond"/>
          <w:lang w:val="en-US"/>
        </w:rPr>
        <w:t xml:space="preserve"> ‘individual’.”</w:t>
      </w:r>
      <w:r w:rsidRPr="00765407">
        <w:rPr>
          <w:rStyle w:val="FootnoteReference"/>
          <w:rFonts w:ascii="Garamond" w:hAnsi="Garamond"/>
          <w:lang w:val="en-US"/>
        </w:rPr>
        <w:footnoteReference w:id="40"/>
      </w:r>
      <w:r w:rsidRPr="00765407">
        <w:rPr>
          <w:rFonts w:ascii="Garamond" w:hAnsi="Garamond"/>
          <w:lang w:val="en-US"/>
        </w:rPr>
        <w:t xml:space="preserve"> The ‘individual’ </w:t>
      </w:r>
      <w:r w:rsidR="004F6C1E">
        <w:rPr>
          <w:rFonts w:ascii="Garamond" w:hAnsi="Garamond"/>
          <w:lang w:val="en-US"/>
        </w:rPr>
        <w:t>at the foundation of liberal equality is</w:t>
      </w:r>
      <w:r w:rsidRPr="00765407">
        <w:rPr>
          <w:rFonts w:ascii="Garamond" w:hAnsi="Garamond"/>
          <w:lang w:val="en-US"/>
        </w:rPr>
        <w:t>, then, by definition a gendered category, one that requires the exclusion of women as its condition of possibility.</w:t>
      </w:r>
    </w:p>
    <w:p w14:paraId="1117FA48" w14:textId="53FB9C0F" w:rsidR="00F67314" w:rsidRPr="00765407" w:rsidRDefault="00D2747C" w:rsidP="00FA5791">
      <w:pPr>
        <w:spacing w:line="360" w:lineRule="auto"/>
        <w:ind w:firstLine="720"/>
        <w:jc w:val="both"/>
        <w:rPr>
          <w:rFonts w:ascii="Garamond" w:hAnsi="Garamond"/>
          <w:color w:val="000000" w:themeColor="text1"/>
          <w:lang w:val="en-US"/>
        </w:rPr>
      </w:pPr>
      <w:r w:rsidRPr="00765407">
        <w:rPr>
          <w:rFonts w:ascii="Garamond" w:hAnsi="Garamond"/>
          <w:iCs/>
        </w:rPr>
        <w:t xml:space="preserve">According to Pateman, liberal democracy’s association of women with the sensuous body meant that </w:t>
      </w:r>
      <w:r w:rsidRPr="00765407">
        <w:rPr>
          <w:rFonts w:ascii="Garamond" w:hAnsi="Garamond"/>
        </w:rPr>
        <w:t>the s</w:t>
      </w:r>
      <w:r w:rsidRPr="00765407">
        <w:rPr>
          <w:rFonts w:ascii="Garamond" w:hAnsi="Garamond"/>
          <w:iCs/>
        </w:rPr>
        <w:t>ubject of liberal democracy is a d</w:t>
      </w:r>
      <w:r w:rsidRPr="00765407">
        <w:rPr>
          <w:rFonts w:ascii="Garamond" w:hAnsi="Garamond"/>
        </w:rPr>
        <w:t>isembodied agent of reason only accessible to men: “</w:t>
      </w:r>
      <w:r w:rsidRPr="00765407">
        <w:rPr>
          <w:rFonts w:ascii="Garamond" w:hAnsi="Garamond"/>
          <w:lang w:val="en-US"/>
        </w:rPr>
        <w:t>political life has been conceptualized in opposition to the mundane world of necessity, the body, the sexual passions and birth: in short, in opposition to women.”</w:t>
      </w:r>
      <w:r w:rsidRPr="00765407">
        <w:rPr>
          <w:rStyle w:val="FootnoteReference"/>
          <w:rFonts w:ascii="Garamond" w:hAnsi="Garamond"/>
          <w:iCs/>
        </w:rPr>
        <w:footnoteReference w:id="41"/>
      </w:r>
      <w:r w:rsidRPr="00765407">
        <w:rPr>
          <w:rFonts w:ascii="Garamond" w:hAnsi="Garamond"/>
          <w:iCs/>
        </w:rPr>
        <w:t xml:space="preserve"> </w:t>
      </w:r>
      <w:r w:rsidR="00C956CD" w:rsidRPr="00765407">
        <w:rPr>
          <w:rFonts w:ascii="Garamond" w:hAnsi="Garamond"/>
          <w:iCs/>
        </w:rPr>
        <w:t xml:space="preserve">Through women’s </w:t>
      </w:r>
      <w:r w:rsidR="00C956CD" w:rsidRPr="00765407">
        <w:rPr>
          <w:rFonts w:ascii="Garamond" w:hAnsi="Garamond"/>
          <w:iCs/>
        </w:rPr>
        <w:t>oppressi</w:t>
      </w:r>
      <w:r w:rsidR="00C956CD" w:rsidRPr="00765407">
        <w:rPr>
          <w:rFonts w:ascii="Garamond" w:hAnsi="Garamond"/>
          <w:iCs/>
        </w:rPr>
        <w:t>on, the s</w:t>
      </w:r>
      <w:r w:rsidRPr="00765407">
        <w:rPr>
          <w:rFonts w:ascii="Garamond" w:hAnsi="Garamond"/>
          <w:iCs/>
        </w:rPr>
        <w:t xml:space="preserve">ocial contract tradition </w:t>
      </w:r>
      <w:r w:rsidR="00C956CD" w:rsidRPr="00765407">
        <w:rPr>
          <w:rFonts w:ascii="Garamond" w:hAnsi="Garamond"/>
          <w:iCs/>
        </w:rPr>
        <w:t xml:space="preserve">has come to </w:t>
      </w:r>
      <w:r w:rsidRPr="00765407">
        <w:rPr>
          <w:rFonts w:ascii="Garamond" w:hAnsi="Garamond"/>
          <w:iCs/>
        </w:rPr>
        <w:t>conceal questions of</w:t>
      </w:r>
      <w:r w:rsidR="00C956CD" w:rsidRPr="00765407">
        <w:rPr>
          <w:rFonts w:ascii="Garamond" w:hAnsi="Garamond"/>
          <w:iCs/>
        </w:rPr>
        <w:t xml:space="preserve"> the body, sexual desire, and reproduction</w:t>
      </w:r>
      <w:r w:rsidRPr="00765407">
        <w:rPr>
          <w:rFonts w:ascii="Garamond" w:hAnsi="Garamond"/>
          <w:iCs/>
        </w:rPr>
        <w:t xml:space="preserve">. Accordingly, </w:t>
      </w:r>
      <w:r w:rsidR="004F6C1E">
        <w:rPr>
          <w:rFonts w:ascii="Garamond" w:hAnsi="Garamond"/>
          <w:iCs/>
        </w:rPr>
        <w:t xml:space="preserve">the </w:t>
      </w:r>
      <w:r w:rsidRPr="00765407">
        <w:rPr>
          <w:rFonts w:ascii="Garamond" w:hAnsi="Garamond"/>
          <w:iCs/>
        </w:rPr>
        <w:t xml:space="preserve">democratic </w:t>
      </w:r>
      <w:r w:rsidR="004F6C1E">
        <w:rPr>
          <w:rFonts w:ascii="Garamond" w:hAnsi="Garamond"/>
          <w:iCs/>
        </w:rPr>
        <w:t>theorizing</w:t>
      </w:r>
      <w:r w:rsidRPr="00765407">
        <w:rPr>
          <w:rFonts w:ascii="Garamond" w:hAnsi="Garamond"/>
          <w:iCs/>
        </w:rPr>
        <w:t xml:space="preserve"> emerging out of this </w:t>
      </w:r>
      <w:r w:rsidR="00C956CD" w:rsidRPr="00765407">
        <w:rPr>
          <w:rFonts w:ascii="Garamond" w:hAnsi="Garamond"/>
          <w:iCs/>
        </w:rPr>
        <w:t xml:space="preserve">tradition </w:t>
      </w:r>
      <w:r w:rsidRPr="00765407">
        <w:rPr>
          <w:rFonts w:ascii="Garamond" w:hAnsi="Garamond"/>
          <w:iCs/>
        </w:rPr>
        <w:t xml:space="preserve">is one in which, as Pateman writes, an </w:t>
      </w:r>
      <w:r w:rsidRPr="00765407">
        <w:rPr>
          <w:rFonts w:ascii="Garamond" w:hAnsi="Garamond"/>
        </w:rPr>
        <w:t>“</w:t>
      </w:r>
      <w:r w:rsidRPr="00765407">
        <w:rPr>
          <w:rFonts w:ascii="Garamond" w:hAnsi="Garamond"/>
          <w:lang w:val="en-US"/>
        </w:rPr>
        <w:t>opposition between women, bodies, passion, and men, reason, rational advantage, is repressed.”</w:t>
      </w:r>
      <w:r w:rsidRPr="00765407">
        <w:rPr>
          <w:rStyle w:val="FootnoteReference"/>
          <w:rFonts w:ascii="Garamond" w:hAnsi="Garamond"/>
          <w:iCs/>
        </w:rPr>
        <w:footnoteReference w:id="42"/>
      </w:r>
      <w:r w:rsidRPr="00765407">
        <w:rPr>
          <w:rFonts w:ascii="Garamond" w:hAnsi="Garamond"/>
          <w:lang w:val="en-US"/>
        </w:rPr>
        <w:t xml:space="preserve"> </w:t>
      </w:r>
      <w:r w:rsidRPr="00765407">
        <w:rPr>
          <w:rFonts w:ascii="Garamond" w:hAnsi="Garamond"/>
          <w:lang w:val="en-US"/>
        </w:rPr>
        <w:t>F</w:t>
      </w:r>
      <w:r w:rsidRPr="00765407">
        <w:rPr>
          <w:rFonts w:ascii="Garamond" w:hAnsi="Garamond"/>
          <w:lang w:val="en-US"/>
        </w:rPr>
        <w:t>ollowing Patema</w:t>
      </w:r>
      <w:r w:rsidRPr="00765407">
        <w:rPr>
          <w:rFonts w:ascii="Garamond" w:hAnsi="Garamond"/>
          <w:lang w:val="en-US"/>
        </w:rPr>
        <w:t>n’s intervention, queer and feminist critics</w:t>
      </w:r>
      <w:r w:rsidR="00C956CD" w:rsidRPr="00765407">
        <w:rPr>
          <w:rFonts w:ascii="Garamond" w:hAnsi="Garamond"/>
          <w:lang w:val="en-US"/>
        </w:rPr>
        <w:t xml:space="preserve"> have</w:t>
      </w:r>
      <w:r w:rsidR="00F67314" w:rsidRPr="00765407">
        <w:rPr>
          <w:rFonts w:ascii="Garamond" w:hAnsi="Garamond"/>
          <w:lang w:val="en-US"/>
        </w:rPr>
        <w:t xml:space="preserve"> </w:t>
      </w:r>
      <w:r w:rsidRPr="00765407">
        <w:rPr>
          <w:rFonts w:ascii="Garamond" w:hAnsi="Garamond"/>
          <w:lang w:val="en-US"/>
        </w:rPr>
        <w:t xml:space="preserve">turned </w:t>
      </w:r>
      <w:r w:rsidR="00F67314" w:rsidRPr="00765407">
        <w:rPr>
          <w:rFonts w:ascii="Garamond" w:hAnsi="Garamond"/>
          <w:lang w:val="en-US"/>
        </w:rPr>
        <w:t>a critical eye to</w:t>
      </w:r>
      <w:r w:rsidRPr="00765407">
        <w:rPr>
          <w:rFonts w:ascii="Garamond" w:hAnsi="Garamond"/>
          <w:lang w:val="en-US"/>
        </w:rPr>
        <w:t xml:space="preserve"> </w:t>
      </w:r>
      <w:proofErr w:type="spellStart"/>
      <w:r w:rsidRPr="00765407">
        <w:rPr>
          <w:rFonts w:ascii="Garamond" w:hAnsi="Garamond"/>
          <w:lang w:val="en-US"/>
        </w:rPr>
        <w:t>Habarmas’s</w:t>
      </w:r>
      <w:proofErr w:type="spellEnd"/>
      <w:r w:rsidRPr="00765407">
        <w:rPr>
          <w:rFonts w:ascii="Garamond" w:hAnsi="Garamond"/>
          <w:lang w:val="en-US"/>
        </w:rPr>
        <w:t xml:space="preserve"> account of the bourgeois public sphere</w:t>
      </w:r>
      <w:r w:rsidR="00F67314" w:rsidRPr="00765407">
        <w:rPr>
          <w:rFonts w:ascii="Garamond" w:hAnsi="Garamond"/>
          <w:lang w:val="en-US"/>
        </w:rPr>
        <w:t xml:space="preserve"> and its democratic norms of deliberative equality.</w:t>
      </w:r>
      <w:r w:rsidR="00F67314" w:rsidRPr="00765407">
        <w:rPr>
          <w:rFonts w:ascii="Garamond" w:hAnsi="Garamond"/>
          <w:color w:val="000000" w:themeColor="text1"/>
          <w:lang w:val="en-US"/>
        </w:rPr>
        <w:t xml:space="preserve"> </w:t>
      </w:r>
      <w:r w:rsidR="00F67314" w:rsidRPr="00765407">
        <w:rPr>
          <w:rFonts w:ascii="Garamond" w:hAnsi="Garamond"/>
          <w:lang w:val="en-US"/>
        </w:rPr>
        <w:t>Critics such as Michael Warner</w:t>
      </w:r>
      <w:r w:rsidR="00D11329" w:rsidRPr="00765407">
        <w:rPr>
          <w:rFonts w:ascii="Garamond" w:hAnsi="Garamond"/>
          <w:lang w:val="en-US"/>
        </w:rPr>
        <w:t xml:space="preserve"> and </w:t>
      </w:r>
      <w:r w:rsidR="00F67314" w:rsidRPr="00765407">
        <w:rPr>
          <w:rFonts w:ascii="Garamond" w:hAnsi="Garamond"/>
          <w:lang w:val="en-US"/>
        </w:rPr>
        <w:t xml:space="preserve">Joan </w:t>
      </w:r>
      <w:proofErr w:type="spellStart"/>
      <w:r w:rsidR="00F67314" w:rsidRPr="00765407">
        <w:rPr>
          <w:rFonts w:ascii="Garamond" w:hAnsi="Garamond"/>
          <w:lang w:val="en-US"/>
        </w:rPr>
        <w:t>Landes</w:t>
      </w:r>
      <w:proofErr w:type="spellEnd"/>
      <w:r w:rsidR="00F67314" w:rsidRPr="00765407">
        <w:rPr>
          <w:rFonts w:ascii="Garamond" w:hAnsi="Garamond"/>
          <w:lang w:val="en-US"/>
        </w:rPr>
        <w:t xml:space="preserve"> </w:t>
      </w:r>
      <w:r w:rsidR="00C956CD" w:rsidRPr="00765407">
        <w:rPr>
          <w:rFonts w:ascii="Garamond" w:hAnsi="Garamond"/>
          <w:lang w:val="en-US"/>
        </w:rPr>
        <w:t xml:space="preserve">have </w:t>
      </w:r>
      <w:r w:rsidR="00F67314" w:rsidRPr="00765407">
        <w:rPr>
          <w:rFonts w:ascii="Garamond" w:hAnsi="Garamond"/>
          <w:lang w:val="en-US"/>
        </w:rPr>
        <w:t xml:space="preserve">argued </w:t>
      </w:r>
      <w:r w:rsidR="00F67314" w:rsidRPr="00765407">
        <w:rPr>
          <w:rFonts w:ascii="Garamond" w:hAnsi="Garamond"/>
          <w:lang w:val="en-US"/>
        </w:rPr>
        <w:t xml:space="preserve">that the </w:t>
      </w:r>
      <w:r w:rsidR="00F67314" w:rsidRPr="00765407">
        <w:rPr>
          <w:rFonts w:ascii="Garamond" w:hAnsi="Garamond"/>
          <w:color w:val="000000" w:themeColor="text1"/>
          <w:lang w:val="en-US"/>
        </w:rPr>
        <w:t>exclusion of women</w:t>
      </w:r>
      <w:r w:rsidR="00325397" w:rsidRPr="00765407">
        <w:rPr>
          <w:rFonts w:ascii="Garamond" w:hAnsi="Garamond"/>
          <w:color w:val="000000" w:themeColor="text1"/>
          <w:lang w:val="en-US"/>
        </w:rPr>
        <w:t xml:space="preserve"> and gender non-conforming people</w:t>
      </w:r>
      <w:r w:rsidR="00F67314" w:rsidRPr="00765407">
        <w:rPr>
          <w:rFonts w:ascii="Garamond" w:hAnsi="Garamond"/>
          <w:color w:val="000000" w:themeColor="text1"/>
          <w:lang w:val="en-US"/>
        </w:rPr>
        <w:t xml:space="preserve"> from public life was a central condition for the emergence of bourgeois deliberation, as an emerging hetero-patriarchal public sphere determined not only which bodies could speak in public but also how they could intelligibly </w:t>
      </w:r>
      <w:r w:rsidR="00F67314" w:rsidRPr="00765407">
        <w:rPr>
          <w:rFonts w:ascii="Garamond" w:hAnsi="Garamond"/>
          <w:color w:val="000000" w:themeColor="text1"/>
          <w:lang w:val="en-US"/>
        </w:rPr>
        <w:lastRenderedPageBreak/>
        <w:t>participate in the public voice of reason.</w:t>
      </w:r>
      <w:r w:rsidR="00F67314" w:rsidRPr="00765407">
        <w:rPr>
          <w:rStyle w:val="FootnoteReference"/>
          <w:rFonts w:ascii="Garamond" w:hAnsi="Garamond"/>
          <w:color w:val="000000" w:themeColor="text1"/>
          <w:lang w:val="en-US"/>
        </w:rPr>
        <w:footnoteReference w:id="43"/>
      </w:r>
      <w:r w:rsidR="00F67314" w:rsidRPr="00765407">
        <w:rPr>
          <w:rFonts w:ascii="Garamond" w:hAnsi="Garamond"/>
          <w:color w:val="000000" w:themeColor="text1"/>
          <w:lang w:val="en-US"/>
        </w:rPr>
        <w:t xml:space="preserve"> </w:t>
      </w:r>
      <w:r w:rsidR="00F67314" w:rsidRPr="00765407">
        <w:rPr>
          <w:rFonts w:ascii="Garamond" w:hAnsi="Garamond"/>
          <w:color w:val="000000" w:themeColor="text1"/>
          <w:lang w:val="en-US"/>
        </w:rPr>
        <w:t xml:space="preserve">The gendered body of the bourgeoisie gained </w:t>
      </w:r>
      <w:r w:rsidR="004F6C1E">
        <w:rPr>
          <w:rFonts w:ascii="Garamond" w:hAnsi="Garamond"/>
          <w:color w:val="000000" w:themeColor="text1"/>
          <w:lang w:val="en-US"/>
        </w:rPr>
        <w:t xml:space="preserve">a </w:t>
      </w:r>
      <w:r w:rsidR="00F67314" w:rsidRPr="00765407">
        <w:rPr>
          <w:rFonts w:ascii="Garamond" w:hAnsi="Garamond"/>
          <w:color w:val="000000" w:themeColor="text1"/>
          <w:lang w:val="en-US"/>
        </w:rPr>
        <w:t xml:space="preserve">new kind of significance and symbolic currency, as the exclusion of women was not accidental to but rather constitutive of the </w:t>
      </w:r>
      <w:r w:rsidR="00E40F99" w:rsidRPr="00765407">
        <w:rPr>
          <w:rFonts w:ascii="Garamond" w:hAnsi="Garamond"/>
          <w:color w:val="000000" w:themeColor="text1"/>
          <w:lang w:val="en-US"/>
        </w:rPr>
        <w:t xml:space="preserve">heterosexual </w:t>
      </w:r>
      <w:r w:rsidR="00F67314" w:rsidRPr="00765407">
        <w:rPr>
          <w:rFonts w:ascii="Garamond" w:hAnsi="Garamond"/>
          <w:color w:val="000000" w:themeColor="text1"/>
          <w:lang w:val="en-US"/>
        </w:rPr>
        <w:t>masculine equality of the bourgeois public sphere.</w:t>
      </w:r>
    </w:p>
    <w:p w14:paraId="1FE9596C" w14:textId="7840C16F" w:rsidR="00E174A1" w:rsidRDefault="00E40F99" w:rsidP="00E174A1">
      <w:pPr>
        <w:spacing w:line="360" w:lineRule="auto"/>
        <w:ind w:firstLine="720"/>
        <w:jc w:val="both"/>
        <w:rPr>
          <w:rFonts w:ascii="Garamond" w:hAnsi="Garamond"/>
          <w:iCs/>
        </w:rPr>
      </w:pPr>
      <w:r w:rsidRPr="00765407">
        <w:rPr>
          <w:rFonts w:ascii="Garamond" w:hAnsi="Garamond"/>
          <w:lang w:val="en-US"/>
        </w:rPr>
        <w:t>These various historiographies</w:t>
      </w:r>
      <w:r w:rsidR="00F67314" w:rsidRPr="00765407">
        <w:rPr>
          <w:rFonts w:ascii="Garamond" w:hAnsi="Garamond"/>
          <w:lang w:val="en-US"/>
        </w:rPr>
        <w:t xml:space="preserve"> of democracy</w:t>
      </w:r>
      <w:r w:rsidRPr="00765407">
        <w:rPr>
          <w:rFonts w:ascii="Garamond" w:hAnsi="Garamond"/>
          <w:lang w:val="en-US"/>
        </w:rPr>
        <w:t xml:space="preserve"> put </w:t>
      </w:r>
      <w:r w:rsidR="006F0545" w:rsidRPr="00765407">
        <w:rPr>
          <w:rFonts w:ascii="Garamond" w:hAnsi="Garamond"/>
          <w:lang w:val="en-US"/>
        </w:rPr>
        <w:t>forward</w:t>
      </w:r>
      <w:r w:rsidRPr="00765407">
        <w:rPr>
          <w:rFonts w:ascii="Garamond" w:hAnsi="Garamond"/>
          <w:lang w:val="en-US"/>
        </w:rPr>
        <w:t xml:space="preserve"> what could be considered, following Michel Foucault, a repressive hypothesis about the rise of democracy in the West.</w:t>
      </w:r>
      <w:r w:rsidR="00E174A1">
        <w:rPr>
          <w:rStyle w:val="FootnoteReference"/>
          <w:rFonts w:ascii="Garamond" w:hAnsi="Garamond"/>
          <w:lang w:val="en-US"/>
        </w:rPr>
        <w:footnoteReference w:id="44"/>
      </w:r>
      <w:r w:rsidRPr="00765407">
        <w:rPr>
          <w:rFonts w:ascii="Garamond" w:hAnsi="Garamond"/>
          <w:lang w:val="en-US"/>
        </w:rPr>
        <w:t xml:space="preserve"> </w:t>
      </w:r>
      <w:r w:rsidR="00E174A1">
        <w:rPr>
          <w:rFonts w:ascii="Garamond" w:hAnsi="Garamond"/>
          <w:lang w:val="en-US"/>
        </w:rPr>
        <w:t xml:space="preserve">I don’t mean to suggest that queer and feminist critics such as Warner and Pateman view power negatively as </w:t>
      </w:r>
      <w:r w:rsidR="004F6C1E">
        <w:rPr>
          <w:rFonts w:ascii="Garamond" w:hAnsi="Garamond"/>
          <w:lang w:val="en-US"/>
        </w:rPr>
        <w:t>constraint, limitation, and negation</w:t>
      </w:r>
      <w:r w:rsidR="00E174A1">
        <w:rPr>
          <w:rFonts w:ascii="Garamond" w:hAnsi="Garamond"/>
          <w:lang w:val="en-US"/>
        </w:rPr>
        <w:t xml:space="preserve">. </w:t>
      </w:r>
      <w:r w:rsidR="004F6C1E">
        <w:rPr>
          <w:rFonts w:ascii="Garamond" w:hAnsi="Garamond"/>
          <w:iCs/>
        </w:rPr>
        <w:t>For the</w:t>
      </w:r>
      <w:r w:rsidR="00E174A1">
        <w:rPr>
          <w:rFonts w:ascii="Garamond" w:hAnsi="Garamond"/>
          <w:iCs/>
        </w:rPr>
        <w:t>m</w:t>
      </w:r>
      <w:r w:rsidR="004F6C1E">
        <w:rPr>
          <w:rFonts w:ascii="Garamond" w:hAnsi="Garamond"/>
          <w:iCs/>
        </w:rPr>
        <w:t xml:space="preserve">, power is </w:t>
      </w:r>
      <w:r w:rsidR="004F6C1E" w:rsidRPr="00765407">
        <w:rPr>
          <w:rFonts w:ascii="Garamond" w:hAnsi="Garamond"/>
          <w:iCs/>
        </w:rPr>
        <w:t>productiv</w:t>
      </w:r>
      <w:r w:rsidR="004F6C1E">
        <w:rPr>
          <w:rFonts w:ascii="Garamond" w:hAnsi="Garamond"/>
          <w:iCs/>
        </w:rPr>
        <w:t xml:space="preserve">e, since </w:t>
      </w:r>
      <w:r w:rsidR="004F6C1E" w:rsidRPr="00765407">
        <w:rPr>
          <w:rFonts w:ascii="Garamond" w:hAnsi="Garamond"/>
          <w:iCs/>
        </w:rPr>
        <w:t>the exclusion of women and non-heterosexual subjects played a constitutive role in the formation of democratic societies</w:t>
      </w:r>
      <w:r w:rsidR="004F6C1E">
        <w:rPr>
          <w:rFonts w:ascii="Garamond" w:hAnsi="Garamond"/>
          <w:iCs/>
        </w:rPr>
        <w:t xml:space="preserve">. </w:t>
      </w:r>
      <w:r w:rsidR="004F6C1E" w:rsidRPr="00765407">
        <w:rPr>
          <w:rFonts w:ascii="Garamond" w:hAnsi="Garamond"/>
          <w:iCs/>
        </w:rPr>
        <w:t>Such exclusion makes possible and produces, they argue, the intelligibility of certain political subjects and claims.</w:t>
      </w:r>
      <w:r w:rsidR="00E174A1">
        <w:rPr>
          <w:rFonts w:ascii="Garamond" w:hAnsi="Garamond"/>
          <w:iCs/>
        </w:rPr>
        <w:t xml:space="preserve"> As such,</w:t>
      </w:r>
      <w:r w:rsidR="004F6C1E" w:rsidRPr="00765407">
        <w:rPr>
          <w:rFonts w:ascii="Garamond" w:hAnsi="Garamond"/>
          <w:iCs/>
        </w:rPr>
        <w:t xml:space="preserve"> </w:t>
      </w:r>
      <w:r w:rsidR="00E174A1">
        <w:rPr>
          <w:rFonts w:ascii="Garamond" w:hAnsi="Garamond"/>
          <w:iCs/>
        </w:rPr>
        <w:t>t</w:t>
      </w:r>
      <w:r w:rsidR="004F6C1E" w:rsidRPr="00765407">
        <w:rPr>
          <w:rFonts w:ascii="Garamond" w:hAnsi="Garamond"/>
          <w:iCs/>
        </w:rPr>
        <w:t xml:space="preserve">hey form what has come to be called a constitutive exclusion. As </w:t>
      </w:r>
      <w:proofErr w:type="spellStart"/>
      <w:r w:rsidR="004F6C1E" w:rsidRPr="00765407">
        <w:rPr>
          <w:rFonts w:ascii="Garamond" w:hAnsi="Garamond"/>
          <w:iCs/>
        </w:rPr>
        <w:t>Sina</w:t>
      </w:r>
      <w:proofErr w:type="spellEnd"/>
      <w:r w:rsidR="004F6C1E" w:rsidRPr="00765407">
        <w:rPr>
          <w:rFonts w:ascii="Garamond" w:hAnsi="Garamond"/>
          <w:iCs/>
        </w:rPr>
        <w:t xml:space="preserve"> Kramer argues, “</w:t>
      </w:r>
      <w:r w:rsidR="004F6C1E" w:rsidRPr="00765407">
        <w:rPr>
          <w:rStyle w:val="markedcontent"/>
          <w:rFonts w:ascii="Garamond" w:hAnsi="Garamond"/>
        </w:rPr>
        <w:t xml:space="preserve">Constitutive exclusions occur when a system of thought or a political body defines itself by excluding some difference which is intolerable to it.” Although this excluded remainder “remains within the system or body that has excluded it,” it is nonetheless </w:t>
      </w:r>
      <w:r w:rsidR="004F6C1E" w:rsidRPr="00765407">
        <w:rPr>
          <w:rFonts w:ascii="Garamond" w:hAnsi="Garamond"/>
          <w:iCs/>
        </w:rPr>
        <w:t>“covered over, repressed, or disavowed.”</w:t>
      </w:r>
      <w:r w:rsidR="004F6C1E" w:rsidRPr="00765407">
        <w:rPr>
          <w:rStyle w:val="FootnoteReference"/>
          <w:rFonts w:ascii="Garamond" w:hAnsi="Garamond"/>
          <w:iCs/>
        </w:rPr>
        <w:footnoteReference w:id="45"/>
      </w:r>
      <w:r w:rsidR="004F6C1E">
        <w:rPr>
          <w:rFonts w:ascii="Garamond" w:hAnsi="Garamond"/>
          <w:iCs/>
        </w:rPr>
        <w:t xml:space="preserve"> There is a sense in which power in these accounts is productive, but a central part of what it </w:t>
      </w:r>
      <w:r w:rsidR="004F6C1E" w:rsidRPr="00765407">
        <w:rPr>
          <w:rFonts w:ascii="Garamond" w:hAnsi="Garamond"/>
          <w:iCs/>
        </w:rPr>
        <w:t>produces is repression, and in</w:t>
      </w:r>
      <w:r w:rsidR="00E174A1">
        <w:rPr>
          <w:rFonts w:ascii="Garamond" w:hAnsi="Garamond"/>
          <w:iCs/>
        </w:rPr>
        <w:t xml:space="preserve"> historiography of democracy, political power produces the </w:t>
      </w:r>
      <w:r w:rsidR="004F6C1E" w:rsidRPr="00765407">
        <w:rPr>
          <w:rFonts w:ascii="Garamond" w:hAnsi="Garamond"/>
          <w:iCs/>
        </w:rPr>
        <w:t xml:space="preserve">repression of the body. </w:t>
      </w:r>
    </w:p>
    <w:p w14:paraId="18C0EF50" w14:textId="5B74CCBD" w:rsidR="00320F04" w:rsidRPr="00E174A1" w:rsidRDefault="00D11329" w:rsidP="00E174A1">
      <w:pPr>
        <w:spacing w:line="360" w:lineRule="auto"/>
        <w:ind w:firstLine="720"/>
        <w:jc w:val="both"/>
        <w:rPr>
          <w:rFonts w:ascii="Garamond" w:hAnsi="Garamond"/>
          <w:iCs/>
        </w:rPr>
      </w:pPr>
      <w:r w:rsidRPr="00765407">
        <w:rPr>
          <w:rFonts w:ascii="Garamond" w:hAnsi="Garamond" w:cs="Times New Roman"/>
          <w:lang w:val="en-GB"/>
        </w:rPr>
        <w:t>Although scholars such as Pateman,</w:t>
      </w:r>
      <w:r w:rsidR="0059475B" w:rsidRPr="00765407">
        <w:rPr>
          <w:rFonts w:ascii="Garamond" w:hAnsi="Garamond" w:cs="Times New Roman"/>
          <w:lang w:val="en-GB"/>
        </w:rPr>
        <w:t xml:space="preserve"> </w:t>
      </w:r>
      <w:r w:rsidRPr="00765407">
        <w:rPr>
          <w:rFonts w:ascii="Garamond" w:hAnsi="Garamond" w:cs="Times New Roman"/>
          <w:lang w:val="en-GB"/>
        </w:rPr>
        <w:t xml:space="preserve">Warner, </w:t>
      </w:r>
      <w:r w:rsidR="0059475B" w:rsidRPr="00765407">
        <w:rPr>
          <w:rFonts w:ascii="Garamond" w:hAnsi="Garamond" w:cs="Times New Roman"/>
          <w:lang w:val="en-GB"/>
        </w:rPr>
        <w:t xml:space="preserve">and </w:t>
      </w:r>
      <w:proofErr w:type="spellStart"/>
      <w:r w:rsidRPr="00765407">
        <w:rPr>
          <w:rFonts w:ascii="Garamond" w:hAnsi="Garamond" w:cs="Times New Roman"/>
          <w:lang w:val="en-GB"/>
        </w:rPr>
        <w:t>L</w:t>
      </w:r>
      <w:r w:rsidR="0059475B" w:rsidRPr="00765407">
        <w:rPr>
          <w:rFonts w:ascii="Garamond" w:hAnsi="Garamond" w:cs="Times New Roman"/>
          <w:lang w:val="en-GB"/>
        </w:rPr>
        <w:t>a</w:t>
      </w:r>
      <w:r w:rsidRPr="00765407">
        <w:rPr>
          <w:rFonts w:ascii="Garamond" w:hAnsi="Garamond" w:cs="Times New Roman"/>
          <w:lang w:val="en-GB"/>
        </w:rPr>
        <w:t>ndes</w:t>
      </w:r>
      <w:proofErr w:type="spellEnd"/>
      <w:r w:rsidRPr="00765407">
        <w:rPr>
          <w:rFonts w:ascii="Garamond" w:hAnsi="Garamond" w:cs="Times New Roman"/>
          <w:lang w:val="en-GB"/>
        </w:rPr>
        <w:t xml:space="preserve"> </w:t>
      </w:r>
      <w:r w:rsidR="0059475B" w:rsidRPr="00765407">
        <w:rPr>
          <w:rFonts w:ascii="Garamond" w:hAnsi="Garamond" w:cs="Times New Roman"/>
          <w:lang w:val="en-GB"/>
        </w:rPr>
        <w:t xml:space="preserve">have made </w:t>
      </w:r>
      <w:proofErr w:type="gramStart"/>
      <w:r w:rsidR="0059475B" w:rsidRPr="00765407">
        <w:rPr>
          <w:rFonts w:ascii="Garamond" w:hAnsi="Garamond" w:cs="Times New Roman"/>
          <w:lang w:val="en-GB"/>
        </w:rPr>
        <w:t>a number of</w:t>
      </w:r>
      <w:proofErr w:type="gramEnd"/>
      <w:r w:rsidR="0059475B" w:rsidRPr="00765407">
        <w:rPr>
          <w:rFonts w:ascii="Garamond" w:hAnsi="Garamond" w:cs="Times New Roman"/>
          <w:lang w:val="en-GB"/>
        </w:rPr>
        <w:t xml:space="preserve"> important political critiques to dominant historiographies of democracy, the </w:t>
      </w:r>
      <w:r w:rsidRPr="00765407">
        <w:rPr>
          <w:rFonts w:ascii="Garamond" w:hAnsi="Garamond" w:cs="Times New Roman"/>
          <w:lang w:val="en-GB"/>
        </w:rPr>
        <w:t>narrative dimensions of both earlier</w:t>
      </w:r>
      <w:r w:rsidR="0059475B" w:rsidRPr="00765407">
        <w:rPr>
          <w:rFonts w:ascii="Garamond" w:hAnsi="Garamond" w:cs="Times New Roman"/>
          <w:lang w:val="en-GB"/>
        </w:rPr>
        <w:t xml:space="preserve"> </w:t>
      </w:r>
      <w:r w:rsidRPr="00765407">
        <w:rPr>
          <w:rFonts w:ascii="Garamond" w:hAnsi="Garamond" w:cs="Times New Roman"/>
          <w:lang w:val="en-GB"/>
        </w:rPr>
        <w:t xml:space="preserve">and more recent critical accounts nonetheless </w:t>
      </w:r>
      <w:r w:rsidR="0059475B" w:rsidRPr="00765407">
        <w:rPr>
          <w:rFonts w:ascii="Garamond" w:hAnsi="Garamond" w:cs="Times New Roman"/>
          <w:lang w:val="en-GB"/>
        </w:rPr>
        <w:t xml:space="preserve">continue to pose the body as democracy’s outside. </w:t>
      </w:r>
      <w:r w:rsidR="00410FDC" w:rsidRPr="00765407">
        <w:rPr>
          <w:rFonts w:ascii="Garamond" w:hAnsi="Garamond" w:cs="Times New Roman"/>
          <w:iCs/>
        </w:rPr>
        <w:t>Wh</w:t>
      </w:r>
      <w:r w:rsidR="00E174A1">
        <w:rPr>
          <w:rFonts w:ascii="Garamond" w:hAnsi="Garamond" w:cs="Times New Roman"/>
          <w:iCs/>
        </w:rPr>
        <w:t>ereas</w:t>
      </w:r>
      <w:r w:rsidR="00410FDC" w:rsidRPr="00765407">
        <w:rPr>
          <w:rFonts w:ascii="Garamond" w:hAnsi="Garamond" w:cs="Times New Roman"/>
          <w:iCs/>
        </w:rPr>
        <w:t xml:space="preserve"> </w:t>
      </w:r>
      <w:r w:rsidR="0059475B" w:rsidRPr="00765407">
        <w:rPr>
          <w:rFonts w:ascii="Garamond" w:hAnsi="Garamond" w:cs="Times New Roman"/>
          <w:iCs/>
        </w:rPr>
        <w:t xml:space="preserve">Habermas and </w:t>
      </w:r>
      <w:proofErr w:type="spellStart"/>
      <w:r w:rsidR="00410FDC" w:rsidRPr="00765407">
        <w:rPr>
          <w:rFonts w:ascii="Garamond" w:hAnsi="Garamond" w:cs="Times New Roman"/>
          <w:iCs/>
        </w:rPr>
        <w:t>Lefort</w:t>
      </w:r>
      <w:proofErr w:type="spellEnd"/>
      <w:r w:rsidR="00410FDC" w:rsidRPr="00765407">
        <w:rPr>
          <w:rFonts w:ascii="Garamond" w:hAnsi="Garamond" w:cs="Times New Roman"/>
          <w:iCs/>
        </w:rPr>
        <w:t xml:space="preserve"> claim </w:t>
      </w:r>
      <w:r w:rsidR="0059475B" w:rsidRPr="00765407">
        <w:rPr>
          <w:rFonts w:ascii="Garamond" w:hAnsi="Garamond" w:cs="Times New Roman"/>
          <w:iCs/>
        </w:rPr>
        <w:t xml:space="preserve">that </w:t>
      </w:r>
      <w:r w:rsidR="00E174A1">
        <w:rPr>
          <w:rFonts w:ascii="Garamond" w:hAnsi="Garamond" w:cs="Times New Roman"/>
          <w:iCs/>
        </w:rPr>
        <w:t xml:space="preserve">the </w:t>
      </w:r>
      <w:r w:rsidR="0059475B" w:rsidRPr="00765407">
        <w:rPr>
          <w:rFonts w:ascii="Garamond" w:hAnsi="Garamond" w:cs="Times New Roman"/>
          <w:iCs/>
        </w:rPr>
        <w:t>shift from a monarchical to a democracy society</w:t>
      </w:r>
      <w:r w:rsidR="0059475B" w:rsidRPr="00765407">
        <w:rPr>
          <w:rFonts w:ascii="Garamond" w:hAnsi="Garamond" w:cs="Times New Roman"/>
          <w:iCs/>
        </w:rPr>
        <w:t xml:space="preserve"> entailed a rejection of the</w:t>
      </w:r>
      <w:r w:rsidR="00AA2D39" w:rsidRPr="00765407">
        <w:rPr>
          <w:rFonts w:ascii="Garamond" w:hAnsi="Garamond" w:cs="Times New Roman"/>
          <w:iCs/>
        </w:rPr>
        <w:t xml:space="preserve"> structure of</w:t>
      </w:r>
      <w:r w:rsidR="0059475B" w:rsidRPr="00765407">
        <w:rPr>
          <w:rFonts w:ascii="Garamond" w:hAnsi="Garamond" w:cs="Times New Roman"/>
          <w:iCs/>
        </w:rPr>
        <w:t xml:space="preserve"> corporeality </w:t>
      </w:r>
      <w:r w:rsidR="00AA2D39" w:rsidRPr="00765407">
        <w:rPr>
          <w:rFonts w:ascii="Garamond" w:hAnsi="Garamond" w:cs="Times New Roman"/>
          <w:iCs/>
        </w:rPr>
        <w:t>that defined the monarchy</w:t>
      </w:r>
      <w:r w:rsidR="00410FDC" w:rsidRPr="00765407">
        <w:rPr>
          <w:rFonts w:ascii="Garamond" w:hAnsi="Garamond" w:cs="Times New Roman"/>
          <w:iCs/>
        </w:rPr>
        <w:t xml:space="preserve">, feminist </w:t>
      </w:r>
      <w:r w:rsidR="0059475B" w:rsidRPr="00765407">
        <w:rPr>
          <w:rFonts w:ascii="Garamond" w:hAnsi="Garamond" w:cs="Times New Roman"/>
          <w:iCs/>
        </w:rPr>
        <w:t xml:space="preserve">and queer </w:t>
      </w:r>
      <w:r w:rsidR="00410FDC" w:rsidRPr="00765407">
        <w:rPr>
          <w:rFonts w:ascii="Garamond" w:hAnsi="Garamond" w:cs="Times New Roman"/>
          <w:iCs/>
        </w:rPr>
        <w:t xml:space="preserve">critics </w:t>
      </w:r>
      <w:r w:rsidR="00410FDC" w:rsidRPr="00765407">
        <w:rPr>
          <w:rFonts w:ascii="Garamond" w:eastAsia="Times New Roman" w:hAnsi="Garamond" w:cs="Times New Roman"/>
        </w:rPr>
        <w:t xml:space="preserve">embrace </w:t>
      </w:r>
      <w:r w:rsidR="00AA2D39" w:rsidRPr="00765407">
        <w:rPr>
          <w:rFonts w:ascii="Garamond" w:eastAsia="Times New Roman" w:hAnsi="Garamond" w:cs="Times New Roman"/>
        </w:rPr>
        <w:t>this narrative as</w:t>
      </w:r>
      <w:r w:rsidR="00410FDC" w:rsidRPr="00765407">
        <w:rPr>
          <w:rFonts w:ascii="Garamond" w:eastAsia="Times New Roman" w:hAnsi="Garamond" w:cs="Times New Roman"/>
        </w:rPr>
        <w:t xml:space="preserve"> a matter of historical fact only to highlight how </w:t>
      </w:r>
      <w:r w:rsidR="0059475B" w:rsidRPr="00765407">
        <w:rPr>
          <w:rFonts w:ascii="Garamond" w:eastAsia="Times New Roman" w:hAnsi="Garamond" w:cs="Times New Roman"/>
        </w:rPr>
        <w:t>th</w:t>
      </w:r>
      <w:r w:rsidR="00AA2D39" w:rsidRPr="00765407">
        <w:rPr>
          <w:rFonts w:ascii="Garamond" w:eastAsia="Times New Roman" w:hAnsi="Garamond" w:cs="Times New Roman"/>
        </w:rPr>
        <w:t>e</w:t>
      </w:r>
      <w:r w:rsidR="00410FDC" w:rsidRPr="00765407">
        <w:rPr>
          <w:rFonts w:ascii="Garamond" w:eastAsia="Times New Roman" w:hAnsi="Garamond" w:cs="Times New Roman"/>
        </w:rPr>
        <w:t xml:space="preserve"> disembodiment</w:t>
      </w:r>
      <w:r w:rsidR="0059475B" w:rsidRPr="00765407">
        <w:rPr>
          <w:rFonts w:ascii="Garamond" w:eastAsia="Times New Roman" w:hAnsi="Garamond" w:cs="Times New Roman"/>
        </w:rPr>
        <w:t xml:space="preserve"> the political power</w:t>
      </w:r>
      <w:r w:rsidR="00410FDC" w:rsidRPr="00765407">
        <w:rPr>
          <w:rFonts w:ascii="Garamond" w:eastAsia="Times New Roman" w:hAnsi="Garamond" w:cs="Times New Roman"/>
        </w:rPr>
        <w:t xml:space="preserve"> relied on patriarchal</w:t>
      </w:r>
      <w:r w:rsidR="0059475B" w:rsidRPr="00765407">
        <w:rPr>
          <w:rFonts w:ascii="Garamond" w:eastAsia="Times New Roman" w:hAnsi="Garamond" w:cs="Times New Roman"/>
        </w:rPr>
        <w:t xml:space="preserve"> and heterosexist</w:t>
      </w:r>
      <w:r w:rsidR="00410FDC" w:rsidRPr="00765407">
        <w:rPr>
          <w:rFonts w:ascii="Garamond" w:eastAsia="Times New Roman" w:hAnsi="Garamond" w:cs="Times New Roman"/>
        </w:rPr>
        <w:t xml:space="preserve"> exclusion</w:t>
      </w:r>
      <w:r w:rsidR="0059475B" w:rsidRPr="00765407">
        <w:rPr>
          <w:rFonts w:ascii="Garamond" w:eastAsia="Times New Roman" w:hAnsi="Garamond" w:cs="Times New Roman"/>
        </w:rPr>
        <w:t>s</w:t>
      </w:r>
      <w:r w:rsidR="00AA2D39" w:rsidRPr="00765407">
        <w:rPr>
          <w:rFonts w:ascii="Garamond" w:eastAsia="Times New Roman" w:hAnsi="Garamond" w:cs="Times New Roman"/>
        </w:rPr>
        <w:t xml:space="preserve">. </w:t>
      </w:r>
      <w:r w:rsidR="00320F04" w:rsidRPr="00765407">
        <w:rPr>
          <w:rFonts w:ascii="Garamond" w:hAnsi="Garamond"/>
          <w:lang w:val="en-US"/>
        </w:rPr>
        <w:t>In several key theoretical texts for various traditions of political theory, such as deliberative democracy, radical democracy, and feminist political theory, a</w:t>
      </w:r>
      <w:r w:rsidR="00320F04" w:rsidRPr="00765407">
        <w:rPr>
          <w:rFonts w:ascii="Garamond" w:hAnsi="Garamond"/>
        </w:rPr>
        <w:t xml:space="preserve"> transcendence</w:t>
      </w:r>
      <w:r w:rsidR="00320F04" w:rsidRPr="00765407">
        <w:rPr>
          <w:rFonts w:ascii="Garamond" w:hAnsi="Garamond"/>
        </w:rPr>
        <w:t>/repression</w:t>
      </w:r>
      <w:r w:rsidR="00320F04" w:rsidRPr="00765407">
        <w:rPr>
          <w:rFonts w:ascii="Garamond" w:hAnsi="Garamond"/>
        </w:rPr>
        <w:t xml:space="preserve"> of corporeality </w:t>
      </w:r>
      <w:r w:rsidR="00320F04" w:rsidRPr="00765407">
        <w:rPr>
          <w:rFonts w:ascii="Garamond" w:hAnsi="Garamond"/>
        </w:rPr>
        <w:t xml:space="preserve">is seen as a </w:t>
      </w:r>
      <w:r w:rsidR="00E174A1">
        <w:rPr>
          <w:rFonts w:ascii="Garamond" w:hAnsi="Garamond"/>
        </w:rPr>
        <w:t>pivotal</w:t>
      </w:r>
      <w:r w:rsidR="00320F04" w:rsidRPr="00765407">
        <w:rPr>
          <w:rFonts w:ascii="Garamond" w:hAnsi="Garamond"/>
        </w:rPr>
        <w:t xml:space="preserve"> historical</w:t>
      </w:r>
      <w:r w:rsidR="00320F04" w:rsidRPr="00765407">
        <w:rPr>
          <w:rFonts w:ascii="Garamond" w:hAnsi="Garamond"/>
        </w:rPr>
        <w:t xml:space="preserve"> </w:t>
      </w:r>
      <w:r w:rsidR="00320F04" w:rsidRPr="00765407">
        <w:rPr>
          <w:rFonts w:ascii="Garamond" w:hAnsi="Garamond"/>
        </w:rPr>
        <w:t>feature of the emergence of a democratic form of life</w:t>
      </w:r>
      <w:r w:rsidR="00320F04" w:rsidRPr="00765407">
        <w:rPr>
          <w:rFonts w:ascii="Garamond" w:hAnsi="Garamond"/>
        </w:rPr>
        <w:t>.</w:t>
      </w:r>
      <w:r w:rsidR="00320F04" w:rsidRPr="00765407">
        <w:rPr>
          <w:rFonts w:ascii="Garamond" w:hAnsi="Garamond"/>
        </w:rPr>
        <w:t xml:space="preserve"> </w:t>
      </w:r>
    </w:p>
    <w:p w14:paraId="19175DB6" w14:textId="1FC15EAE" w:rsidR="00AA2D39" w:rsidRPr="00765407" w:rsidRDefault="00431426" w:rsidP="00FA5791">
      <w:pPr>
        <w:spacing w:line="360" w:lineRule="auto"/>
        <w:ind w:firstLine="720"/>
        <w:jc w:val="both"/>
        <w:rPr>
          <w:rFonts w:ascii="Garamond" w:hAnsi="Garamond"/>
          <w:iCs/>
        </w:rPr>
      </w:pPr>
      <w:r>
        <w:rPr>
          <w:rFonts w:ascii="Garamond" w:eastAsia="Times New Roman" w:hAnsi="Garamond" w:cs="Times New Roman"/>
        </w:rPr>
        <w:lastRenderedPageBreak/>
        <w:t xml:space="preserve">My point is not to suggest that </w:t>
      </w:r>
      <w:r w:rsidRPr="00765407">
        <w:rPr>
          <w:rFonts w:ascii="Garamond" w:eastAsia="Times New Roman" w:hAnsi="Garamond" w:cs="Times New Roman"/>
        </w:rPr>
        <w:t>democratic theory</w:t>
      </w:r>
      <w:r>
        <w:rPr>
          <w:rFonts w:ascii="Garamond" w:eastAsia="Times New Roman" w:hAnsi="Garamond" w:cs="Times New Roman"/>
        </w:rPr>
        <w:t>’s</w:t>
      </w:r>
      <w:r w:rsidR="00AA2D39" w:rsidRPr="00765407">
        <w:rPr>
          <w:rFonts w:ascii="Garamond" w:eastAsia="Times New Roman" w:hAnsi="Garamond" w:cs="Times New Roman"/>
        </w:rPr>
        <w:t xml:space="preserve"> repressive hypothesis is</w:t>
      </w:r>
      <w:r>
        <w:rPr>
          <w:rFonts w:ascii="Garamond" w:eastAsia="Times New Roman" w:hAnsi="Garamond" w:cs="Times New Roman"/>
        </w:rPr>
        <w:t xml:space="preserve"> wrong (even</w:t>
      </w:r>
      <w:r w:rsidR="00AA2D39" w:rsidRPr="00765407">
        <w:rPr>
          <w:rFonts w:ascii="Garamond" w:eastAsia="Times New Roman" w:hAnsi="Garamond" w:cs="Times New Roman"/>
        </w:rPr>
        <w:t xml:space="preserve"> Foucault admi</w:t>
      </w:r>
      <w:r>
        <w:rPr>
          <w:rFonts w:ascii="Garamond" w:eastAsia="Times New Roman" w:hAnsi="Garamond" w:cs="Times New Roman"/>
        </w:rPr>
        <w:t xml:space="preserve">tted </w:t>
      </w:r>
      <w:r w:rsidR="00AA2D39" w:rsidRPr="00765407">
        <w:rPr>
          <w:rFonts w:ascii="Garamond" w:eastAsia="Times New Roman" w:hAnsi="Garamond" w:cs="Times New Roman"/>
        </w:rPr>
        <w:t>that power does operate repressively</w:t>
      </w:r>
      <w:r>
        <w:rPr>
          <w:rFonts w:ascii="Garamond" w:eastAsia="Times New Roman" w:hAnsi="Garamond" w:cs="Times New Roman"/>
        </w:rPr>
        <w:t xml:space="preserve">), </w:t>
      </w:r>
      <w:r w:rsidR="00AA2D39" w:rsidRPr="00765407">
        <w:rPr>
          <w:rFonts w:ascii="Garamond" w:eastAsia="Times New Roman" w:hAnsi="Garamond" w:cs="Times New Roman"/>
        </w:rPr>
        <w:t xml:space="preserve">but </w:t>
      </w:r>
      <w:r>
        <w:rPr>
          <w:rFonts w:ascii="Garamond" w:eastAsia="Times New Roman" w:hAnsi="Garamond" w:cs="Times New Roman"/>
        </w:rPr>
        <w:t xml:space="preserve">rather to suggest that </w:t>
      </w:r>
      <w:r w:rsidR="00AA2D39" w:rsidRPr="00765407">
        <w:rPr>
          <w:rFonts w:ascii="Garamond" w:eastAsia="Times New Roman" w:hAnsi="Garamond" w:cs="Times New Roman"/>
        </w:rPr>
        <w:t>th</w:t>
      </w:r>
      <w:r w:rsidR="00320F04" w:rsidRPr="00765407">
        <w:rPr>
          <w:rFonts w:ascii="Garamond" w:eastAsia="Times New Roman" w:hAnsi="Garamond" w:cs="Times New Roman"/>
        </w:rPr>
        <w:t>is</w:t>
      </w:r>
      <w:r w:rsidR="00AA2D39" w:rsidRPr="00765407">
        <w:rPr>
          <w:rFonts w:ascii="Garamond" w:eastAsia="Times New Roman" w:hAnsi="Garamond" w:cs="Times New Roman"/>
        </w:rPr>
        <w:t xml:space="preserve"> story of repression is not the </w:t>
      </w:r>
      <w:r w:rsidR="00AA2D39" w:rsidRPr="00765407">
        <w:rPr>
          <w:rFonts w:ascii="Garamond" w:hAnsi="Garamond"/>
          <w:iCs/>
        </w:rPr>
        <w:t xml:space="preserve">only way of making sense of the transition from monarchism to democracy. How else, then, should we make sense of the body’s historical role if not as democracy’s constitutive outside? </w:t>
      </w:r>
      <w:r w:rsidR="00320F04" w:rsidRPr="00765407">
        <w:rPr>
          <w:rFonts w:ascii="Garamond" w:hAnsi="Garamond"/>
          <w:iCs/>
        </w:rPr>
        <w:t xml:space="preserve">And what might an alternative historiography reveal about the body’s capacity to constitute meaning and organize political life? To begin such a project requires, I believe, attending </w:t>
      </w:r>
      <w:r w:rsidR="009129E8" w:rsidRPr="00765407">
        <w:rPr>
          <w:rFonts w:ascii="Garamond" w:hAnsi="Garamond"/>
          <w:iCs/>
        </w:rPr>
        <w:t xml:space="preserve">more </w:t>
      </w:r>
      <w:r w:rsidR="005A7BFF" w:rsidRPr="00765407">
        <w:rPr>
          <w:rFonts w:ascii="Garamond" w:hAnsi="Garamond"/>
          <w:iCs/>
        </w:rPr>
        <w:t>carefully to the</w:t>
      </w:r>
      <w:r w:rsidR="00320F04" w:rsidRPr="00765407">
        <w:rPr>
          <w:rFonts w:ascii="Garamond" w:hAnsi="Garamond"/>
          <w:iCs/>
        </w:rPr>
        <w:t xml:space="preserve"> embodied structure of the monarchy and the</w:t>
      </w:r>
      <w:r w:rsidR="005A7BFF" w:rsidRPr="00765407">
        <w:rPr>
          <w:rFonts w:ascii="Garamond" w:hAnsi="Garamond"/>
          <w:iCs/>
        </w:rPr>
        <w:t xml:space="preserve"> language we use to speak about the king’s material body and its relationship to the body politic. </w:t>
      </w:r>
      <w:r w:rsidR="009129E8" w:rsidRPr="00765407">
        <w:rPr>
          <w:rFonts w:ascii="Garamond" w:hAnsi="Garamond"/>
          <w:iCs/>
        </w:rPr>
        <w:t xml:space="preserve">In so doing, we can better understand what the </w:t>
      </w:r>
      <w:r w:rsidR="00320F04" w:rsidRPr="00765407">
        <w:rPr>
          <w:rFonts w:ascii="Garamond" w:hAnsi="Garamond"/>
          <w:iCs/>
        </w:rPr>
        <w:t xml:space="preserve">emergence of a democratic body politic </w:t>
      </w:r>
      <w:r w:rsidR="009129E8" w:rsidRPr="00765407">
        <w:rPr>
          <w:rFonts w:ascii="Garamond" w:hAnsi="Garamond"/>
          <w:iCs/>
        </w:rPr>
        <w:t>meant for the natural bodies of its members and hopefully overcome</w:t>
      </w:r>
      <w:r w:rsidR="005A7BFF" w:rsidRPr="00765407">
        <w:rPr>
          <w:rFonts w:ascii="Garamond" w:hAnsi="Garamond"/>
          <w:iCs/>
        </w:rPr>
        <w:t xml:space="preserve"> </w:t>
      </w:r>
      <w:r>
        <w:rPr>
          <w:rFonts w:ascii="Garamond" w:hAnsi="Garamond"/>
          <w:iCs/>
        </w:rPr>
        <w:t xml:space="preserve">a </w:t>
      </w:r>
      <w:r w:rsidR="009129E8" w:rsidRPr="00765407">
        <w:rPr>
          <w:rFonts w:ascii="Garamond" w:hAnsi="Garamond"/>
          <w:iCs/>
        </w:rPr>
        <w:t>persistent</w:t>
      </w:r>
      <w:r w:rsidR="005A7BFF" w:rsidRPr="00765407">
        <w:rPr>
          <w:rFonts w:ascii="Garamond" w:hAnsi="Garamond"/>
          <w:iCs/>
        </w:rPr>
        <w:t xml:space="preserve"> opposition in democratic theory between discourse and the body</w:t>
      </w:r>
      <w:r w:rsidR="009129E8" w:rsidRPr="00765407">
        <w:rPr>
          <w:rFonts w:ascii="Garamond" w:hAnsi="Garamond"/>
          <w:iCs/>
        </w:rPr>
        <w:t>,</w:t>
      </w:r>
      <w:r w:rsidR="005A7BFF" w:rsidRPr="00765407">
        <w:rPr>
          <w:rFonts w:ascii="Garamond" w:hAnsi="Garamond"/>
          <w:iCs/>
        </w:rPr>
        <w:t xml:space="preserve"> between speech and its </w:t>
      </w:r>
      <w:r w:rsidR="00AA2D39" w:rsidRPr="00765407">
        <w:rPr>
          <w:rFonts w:ascii="Garamond" w:hAnsi="Garamond"/>
          <w:iCs/>
        </w:rPr>
        <w:t>capacity to generate symbolic meaning and the seeming muteness of the non-linguistic bod</w:t>
      </w:r>
      <w:r w:rsidR="005A7BFF" w:rsidRPr="00765407">
        <w:rPr>
          <w:rFonts w:ascii="Garamond" w:hAnsi="Garamond"/>
          <w:iCs/>
        </w:rPr>
        <w:t>y.</w:t>
      </w:r>
    </w:p>
    <w:p w14:paraId="682B3651" w14:textId="7B37892B" w:rsidR="00617B29" w:rsidRPr="00765407" w:rsidRDefault="0090120A" w:rsidP="00FA5791">
      <w:pPr>
        <w:pStyle w:val="ListParagraph"/>
        <w:numPr>
          <w:ilvl w:val="0"/>
          <w:numId w:val="8"/>
        </w:numPr>
        <w:spacing w:line="360" w:lineRule="auto"/>
        <w:jc w:val="both"/>
        <w:rPr>
          <w:rFonts w:ascii="Garamond" w:hAnsi="Garamond"/>
          <w:b/>
          <w:bCs/>
          <w:lang w:val="en-US"/>
        </w:rPr>
      </w:pPr>
      <w:r w:rsidRPr="00765407">
        <w:rPr>
          <w:rFonts w:ascii="Garamond" w:hAnsi="Garamond"/>
          <w:b/>
          <w:bCs/>
          <w:lang w:val="en-US"/>
        </w:rPr>
        <w:t>From Representation to Incorporation</w:t>
      </w:r>
    </w:p>
    <w:p w14:paraId="4E24CA55" w14:textId="2A9AEF44" w:rsidR="007070F0" w:rsidRPr="00765407" w:rsidRDefault="0090120A" w:rsidP="00FA5791">
      <w:pPr>
        <w:spacing w:line="360" w:lineRule="auto"/>
        <w:jc w:val="both"/>
        <w:rPr>
          <w:rFonts w:ascii="Garamond" w:hAnsi="Garamond"/>
          <w:lang w:val="en-US"/>
        </w:rPr>
      </w:pPr>
      <w:r w:rsidRPr="00765407">
        <w:rPr>
          <w:rFonts w:ascii="Garamond" w:hAnsi="Garamond"/>
          <w:lang w:val="en-US"/>
        </w:rPr>
        <w:tab/>
      </w:r>
      <w:r w:rsidRPr="00765407">
        <w:rPr>
          <w:rFonts w:ascii="Garamond" w:hAnsi="Garamond"/>
        </w:rPr>
        <w:t>To make sense of the king’s body and its relationship to divine authority, democratic theorists often employ the concept of ‘representation</w:t>
      </w:r>
      <w:r w:rsidR="005A7BFF" w:rsidRPr="00765407">
        <w:rPr>
          <w:rFonts w:ascii="Garamond" w:hAnsi="Garamond"/>
        </w:rPr>
        <w:t xml:space="preserve">,’ </w:t>
      </w:r>
      <w:r w:rsidRPr="00765407">
        <w:rPr>
          <w:rFonts w:ascii="Garamond" w:hAnsi="Garamond"/>
        </w:rPr>
        <w:t xml:space="preserve">arguing that the king’s natural body represented the symbolic power and authority of the body politic. Not coincidentally a dominant grammar of democracy, I argue that the language of representation obscures the operation of power at the royal court and hampers our ability to understand the downfall of monarchism and the emergence of democracy. </w:t>
      </w:r>
      <w:r w:rsidRPr="00765407">
        <w:rPr>
          <w:rFonts w:ascii="Garamond" w:hAnsi="Garamond"/>
          <w:lang w:val="en-US"/>
        </w:rPr>
        <w:t xml:space="preserve">Far from elucidating the relationship between the king’s material body and the symbolic power of the body politic, the grammar of representation presents </w:t>
      </w:r>
      <w:r w:rsidR="008E75F8" w:rsidRPr="00765407">
        <w:rPr>
          <w:rFonts w:ascii="Garamond" w:hAnsi="Garamond"/>
          <w:lang w:val="en-US"/>
        </w:rPr>
        <w:t xml:space="preserve">certain </w:t>
      </w:r>
      <w:r w:rsidRPr="00765407">
        <w:rPr>
          <w:rFonts w:ascii="Garamond" w:hAnsi="Garamond"/>
          <w:lang w:val="en-US"/>
        </w:rPr>
        <w:t>methodological problems</w:t>
      </w:r>
      <w:r w:rsidR="008E75F8" w:rsidRPr="00765407">
        <w:rPr>
          <w:rFonts w:ascii="Garamond" w:hAnsi="Garamond"/>
          <w:lang w:val="en-US"/>
        </w:rPr>
        <w:t xml:space="preserve"> for speaking about and studying the king’s</w:t>
      </w:r>
      <w:r w:rsidR="00431426">
        <w:rPr>
          <w:rFonts w:ascii="Garamond" w:hAnsi="Garamond"/>
          <w:lang w:val="en-US"/>
        </w:rPr>
        <w:t xml:space="preserve"> embodied</w:t>
      </w:r>
      <w:r w:rsidR="008E75F8" w:rsidRPr="00765407">
        <w:rPr>
          <w:rFonts w:ascii="Garamond" w:hAnsi="Garamond"/>
          <w:lang w:val="en-US"/>
        </w:rPr>
        <w:t xml:space="preserve"> s</w:t>
      </w:r>
      <w:r w:rsidRPr="00765407">
        <w:rPr>
          <w:rFonts w:ascii="Garamond" w:hAnsi="Garamond"/>
          <w:lang w:val="en-US"/>
        </w:rPr>
        <w:t xml:space="preserve">overeignty. </w:t>
      </w:r>
    </w:p>
    <w:p w14:paraId="4E4077D1" w14:textId="6BC6C6D3" w:rsidR="0090120A" w:rsidRPr="00765407" w:rsidRDefault="008E75F8" w:rsidP="00FA5791">
      <w:pPr>
        <w:spacing w:line="360" w:lineRule="auto"/>
        <w:ind w:firstLine="720"/>
        <w:jc w:val="both"/>
        <w:rPr>
          <w:rFonts w:ascii="Garamond" w:hAnsi="Garamond"/>
          <w:lang w:val="en-US"/>
        </w:rPr>
      </w:pPr>
      <w:r w:rsidRPr="00765407">
        <w:rPr>
          <w:rFonts w:ascii="Garamond" w:hAnsi="Garamond"/>
          <w:lang w:val="en-US"/>
        </w:rPr>
        <w:t xml:space="preserve">In recent years, the concept of representation has been critiqued by various theorists of affect, </w:t>
      </w:r>
      <w:r w:rsidR="0090120A" w:rsidRPr="00765407">
        <w:rPr>
          <w:rFonts w:ascii="Garamond" w:hAnsi="Garamond"/>
          <w:lang w:val="en-US"/>
        </w:rPr>
        <w:t xml:space="preserve">such as Brian </w:t>
      </w:r>
      <w:proofErr w:type="spellStart"/>
      <w:r w:rsidR="0090120A" w:rsidRPr="00765407">
        <w:rPr>
          <w:rFonts w:ascii="Garamond" w:hAnsi="Garamond"/>
          <w:lang w:val="en-US"/>
        </w:rPr>
        <w:t>Massumi</w:t>
      </w:r>
      <w:proofErr w:type="spellEnd"/>
      <w:r w:rsidR="0090120A" w:rsidRPr="00765407">
        <w:rPr>
          <w:rFonts w:ascii="Garamond" w:hAnsi="Garamond"/>
          <w:lang w:val="en-US"/>
        </w:rPr>
        <w:t>, William Connolly, and Nigel Thrift</w:t>
      </w:r>
      <w:r w:rsidRPr="00765407">
        <w:rPr>
          <w:rFonts w:ascii="Garamond" w:hAnsi="Garamond"/>
          <w:lang w:val="en-US"/>
        </w:rPr>
        <w:t xml:space="preserve">. Opposing the symbolic and discursive system of meaning associated with representation, they argue that </w:t>
      </w:r>
      <w:r w:rsidR="0090120A" w:rsidRPr="00765407">
        <w:rPr>
          <w:rFonts w:ascii="Garamond" w:hAnsi="Garamond"/>
          <w:lang w:val="en-US"/>
        </w:rPr>
        <w:t xml:space="preserve">affect is an intensive and experiential flow of embodied life that takes place prior to and </w:t>
      </w:r>
      <w:proofErr w:type="gramStart"/>
      <w:r w:rsidR="0090120A" w:rsidRPr="00765407">
        <w:rPr>
          <w:rFonts w:ascii="Garamond" w:hAnsi="Garamond"/>
          <w:lang w:val="en-US"/>
        </w:rPr>
        <w:t>in excess of</w:t>
      </w:r>
      <w:proofErr w:type="gramEnd"/>
      <w:r w:rsidR="0090120A" w:rsidRPr="00765407">
        <w:rPr>
          <w:rFonts w:ascii="Garamond" w:hAnsi="Garamond"/>
          <w:lang w:val="en-US"/>
        </w:rPr>
        <w:t xml:space="preserve"> signification, representation, and cognition. Yet, as </w:t>
      </w:r>
      <w:r w:rsidRPr="00765407">
        <w:rPr>
          <w:rFonts w:ascii="Garamond" w:hAnsi="Garamond"/>
          <w:lang w:val="en-US"/>
        </w:rPr>
        <w:t>Ruth Leys and Linda Zerilli</w:t>
      </w:r>
      <w:r w:rsidR="0090120A" w:rsidRPr="00765407">
        <w:rPr>
          <w:rFonts w:ascii="Garamond" w:hAnsi="Garamond"/>
          <w:lang w:val="en-US"/>
        </w:rPr>
        <w:t xml:space="preserve"> have argued, </w:t>
      </w:r>
      <w:r w:rsidRPr="00765407">
        <w:rPr>
          <w:rFonts w:ascii="Garamond" w:hAnsi="Garamond"/>
          <w:lang w:val="en-US"/>
        </w:rPr>
        <w:t xml:space="preserve">the conception of affect put forward by </w:t>
      </w:r>
      <w:proofErr w:type="spellStart"/>
      <w:r w:rsidRPr="00765407">
        <w:rPr>
          <w:rFonts w:ascii="Garamond" w:hAnsi="Garamond"/>
          <w:lang w:val="en-US"/>
        </w:rPr>
        <w:t>Massumi</w:t>
      </w:r>
      <w:proofErr w:type="spellEnd"/>
      <w:r w:rsidRPr="00765407">
        <w:rPr>
          <w:rFonts w:ascii="Garamond" w:hAnsi="Garamond"/>
          <w:lang w:val="en-US"/>
        </w:rPr>
        <w:t>, Con</w:t>
      </w:r>
      <w:r w:rsidR="006F1E04" w:rsidRPr="00765407">
        <w:rPr>
          <w:rFonts w:ascii="Garamond" w:hAnsi="Garamond"/>
          <w:lang w:val="en-US"/>
        </w:rPr>
        <w:t>n</w:t>
      </w:r>
      <w:r w:rsidRPr="00765407">
        <w:rPr>
          <w:rFonts w:ascii="Garamond" w:hAnsi="Garamond"/>
          <w:lang w:val="en-US"/>
        </w:rPr>
        <w:t>olly, and others posits a distinction between t</w:t>
      </w:r>
      <w:r w:rsidR="0090120A" w:rsidRPr="00765407">
        <w:rPr>
          <w:rFonts w:ascii="Garamond" w:hAnsi="Garamond"/>
          <w:lang w:val="en-US"/>
        </w:rPr>
        <w:t>he body and cognition, affect and signification, as two different and entirely distinct systems</w:t>
      </w:r>
      <w:r w:rsidRPr="00765407">
        <w:rPr>
          <w:rFonts w:ascii="Garamond" w:hAnsi="Garamond"/>
          <w:lang w:val="en-US"/>
        </w:rPr>
        <w:t>. In their attempts to center the body and the non-representational force of affect, they end up reifying a</w:t>
      </w:r>
      <w:r w:rsidR="0090120A" w:rsidRPr="00765407">
        <w:rPr>
          <w:rFonts w:ascii="Garamond" w:hAnsi="Garamond"/>
          <w:lang w:val="en-US"/>
        </w:rPr>
        <w:t xml:space="preserve"> binary between mind and bod</w:t>
      </w:r>
      <w:r w:rsidR="00431426">
        <w:rPr>
          <w:rFonts w:ascii="Garamond" w:hAnsi="Garamond"/>
          <w:lang w:val="en-US"/>
        </w:rPr>
        <w:t xml:space="preserve">y. As such, it becomes </w:t>
      </w:r>
      <w:r w:rsidRPr="00765407">
        <w:rPr>
          <w:rFonts w:ascii="Garamond" w:hAnsi="Garamond"/>
          <w:lang w:val="en-US"/>
        </w:rPr>
        <w:t xml:space="preserve">difficult, if not impossible, to theorize the </w:t>
      </w:r>
      <w:r w:rsidR="007070F0" w:rsidRPr="00765407">
        <w:rPr>
          <w:rFonts w:ascii="Garamond" w:hAnsi="Garamond"/>
          <w:lang w:val="en-US"/>
        </w:rPr>
        <w:t xml:space="preserve">link between </w:t>
      </w:r>
      <w:r w:rsidRPr="00765407">
        <w:rPr>
          <w:rFonts w:ascii="Garamond" w:hAnsi="Garamond"/>
          <w:lang w:val="en-US"/>
        </w:rPr>
        <w:t>signification</w:t>
      </w:r>
      <w:r w:rsidR="007070F0" w:rsidRPr="00765407">
        <w:rPr>
          <w:rFonts w:ascii="Garamond" w:hAnsi="Garamond"/>
          <w:lang w:val="en-US"/>
        </w:rPr>
        <w:t xml:space="preserve"> and the body, the unity of </w:t>
      </w:r>
      <w:r w:rsidR="0090120A" w:rsidRPr="00765407">
        <w:rPr>
          <w:rFonts w:ascii="Garamond" w:hAnsi="Garamond"/>
          <w:lang w:val="en-US"/>
        </w:rPr>
        <w:t xml:space="preserve">symbolic meaning </w:t>
      </w:r>
      <w:r w:rsidR="007070F0" w:rsidRPr="00765407">
        <w:rPr>
          <w:rFonts w:ascii="Garamond" w:hAnsi="Garamond"/>
          <w:lang w:val="en-US"/>
        </w:rPr>
        <w:t>with materiality and corporeality</w:t>
      </w:r>
      <w:r w:rsidR="0090120A" w:rsidRPr="00765407">
        <w:rPr>
          <w:rFonts w:ascii="Garamond" w:hAnsi="Garamond"/>
          <w:lang w:val="en-US"/>
        </w:rPr>
        <w:t>.</w:t>
      </w:r>
      <w:r w:rsidR="0090120A" w:rsidRPr="00765407">
        <w:rPr>
          <w:rStyle w:val="FootnoteReference"/>
          <w:rFonts w:ascii="Garamond" w:hAnsi="Garamond"/>
          <w:lang w:val="en-US"/>
        </w:rPr>
        <w:footnoteReference w:id="46"/>
      </w:r>
      <w:r w:rsidR="0090120A" w:rsidRPr="00765407">
        <w:rPr>
          <w:rFonts w:ascii="Garamond" w:hAnsi="Garamond"/>
          <w:lang w:val="en-US"/>
        </w:rPr>
        <w:t xml:space="preserve"> </w:t>
      </w:r>
      <w:r w:rsidR="007070F0" w:rsidRPr="00765407">
        <w:rPr>
          <w:rFonts w:ascii="Garamond" w:hAnsi="Garamond"/>
          <w:lang w:val="en-US"/>
        </w:rPr>
        <w:t xml:space="preserve">I believe that the challenge affect theory presents to </w:t>
      </w:r>
      <w:r w:rsidR="00431426">
        <w:rPr>
          <w:rFonts w:ascii="Garamond" w:hAnsi="Garamond"/>
          <w:lang w:val="en-US"/>
        </w:rPr>
        <w:t xml:space="preserve">a </w:t>
      </w:r>
      <w:r w:rsidR="007070F0" w:rsidRPr="00765407">
        <w:rPr>
          <w:rFonts w:ascii="Garamond" w:hAnsi="Garamond"/>
          <w:lang w:val="en-US"/>
        </w:rPr>
        <w:t xml:space="preserve">certain </w:t>
      </w:r>
      <w:r w:rsidR="00431426">
        <w:rPr>
          <w:rFonts w:ascii="Garamond" w:hAnsi="Garamond"/>
          <w:lang w:val="en-US"/>
        </w:rPr>
        <w:t xml:space="preserve">tendency to </w:t>
      </w:r>
      <w:r w:rsidR="007070F0" w:rsidRPr="00765407">
        <w:rPr>
          <w:rFonts w:ascii="Garamond" w:hAnsi="Garamond"/>
          <w:lang w:val="en-US"/>
        </w:rPr>
        <w:t>prioritiz</w:t>
      </w:r>
      <w:r w:rsidR="00431426">
        <w:rPr>
          <w:rFonts w:ascii="Garamond" w:hAnsi="Garamond"/>
          <w:lang w:val="en-US"/>
        </w:rPr>
        <w:t>e</w:t>
      </w:r>
      <w:r w:rsidR="007070F0" w:rsidRPr="00765407">
        <w:rPr>
          <w:rFonts w:ascii="Garamond" w:hAnsi="Garamond"/>
          <w:lang w:val="en-US"/>
        </w:rPr>
        <w:t xml:space="preserve"> </w:t>
      </w:r>
      <w:r w:rsidR="007070F0" w:rsidRPr="00765407">
        <w:rPr>
          <w:rFonts w:ascii="Garamond" w:hAnsi="Garamond"/>
          <w:lang w:val="en-US"/>
        </w:rPr>
        <w:lastRenderedPageBreak/>
        <w:t xml:space="preserve">discourse, language, and representation over questions of </w:t>
      </w:r>
      <w:r w:rsidR="006F1E04" w:rsidRPr="00765407">
        <w:rPr>
          <w:rFonts w:ascii="Garamond" w:hAnsi="Garamond"/>
          <w:lang w:val="en-US"/>
        </w:rPr>
        <w:t xml:space="preserve">the body, feeling, and sensation is right, but, as Leys and </w:t>
      </w:r>
      <w:proofErr w:type="spellStart"/>
      <w:r w:rsidR="006F1E04" w:rsidRPr="00765407">
        <w:rPr>
          <w:rFonts w:ascii="Garamond" w:hAnsi="Garamond"/>
          <w:lang w:val="en-US"/>
        </w:rPr>
        <w:t>Lerrili</w:t>
      </w:r>
      <w:proofErr w:type="spellEnd"/>
      <w:r w:rsidR="006F1E04" w:rsidRPr="00765407">
        <w:rPr>
          <w:rFonts w:ascii="Garamond" w:hAnsi="Garamond"/>
          <w:lang w:val="en-US"/>
        </w:rPr>
        <w:t xml:space="preserve"> </w:t>
      </w:r>
      <w:r w:rsidR="00431426">
        <w:rPr>
          <w:rFonts w:ascii="Garamond" w:hAnsi="Garamond"/>
          <w:lang w:val="en-US"/>
        </w:rPr>
        <w:t xml:space="preserve">have </w:t>
      </w:r>
      <w:r w:rsidR="006F1E04" w:rsidRPr="00765407">
        <w:rPr>
          <w:rFonts w:ascii="Garamond" w:hAnsi="Garamond"/>
          <w:lang w:val="en-US"/>
        </w:rPr>
        <w:t>show</w:t>
      </w:r>
      <w:r w:rsidR="00431426">
        <w:rPr>
          <w:rFonts w:ascii="Garamond" w:hAnsi="Garamond"/>
          <w:lang w:val="en-US"/>
        </w:rPr>
        <w:t>n</w:t>
      </w:r>
      <w:r w:rsidR="006F1E04" w:rsidRPr="00765407">
        <w:rPr>
          <w:rFonts w:ascii="Garamond" w:hAnsi="Garamond"/>
          <w:lang w:val="en-US"/>
        </w:rPr>
        <w:t xml:space="preserve">, the reasons commonly put forward end up recreating the binaries </w:t>
      </w:r>
      <w:r w:rsidR="00431426">
        <w:rPr>
          <w:rFonts w:ascii="Garamond" w:hAnsi="Garamond"/>
          <w:lang w:val="en-US"/>
        </w:rPr>
        <w:t xml:space="preserve">that many affect theorists </w:t>
      </w:r>
      <w:r w:rsidR="006F1E04" w:rsidRPr="00765407">
        <w:rPr>
          <w:rFonts w:ascii="Garamond" w:hAnsi="Garamond"/>
          <w:lang w:val="en-US"/>
        </w:rPr>
        <w:t xml:space="preserve">sought to overturn. </w:t>
      </w:r>
      <w:r w:rsidR="006F1E04" w:rsidRPr="00765407">
        <w:rPr>
          <w:rFonts w:ascii="Garamond" w:hAnsi="Garamond"/>
          <w:lang w:val="en-US"/>
        </w:rPr>
        <w:t>By investigating the political grammar historically opposed to representation, I aim to show how we can provide a better sense of the</w:t>
      </w:r>
      <w:r w:rsidR="006F1E04" w:rsidRPr="00765407">
        <w:rPr>
          <w:rFonts w:ascii="Garamond" w:hAnsi="Garamond"/>
          <w:lang w:val="en-US"/>
        </w:rPr>
        <w:t xml:space="preserve"> material</w:t>
      </w:r>
      <w:r w:rsidR="006F1E04" w:rsidRPr="00765407">
        <w:rPr>
          <w:rFonts w:ascii="Garamond" w:hAnsi="Garamond"/>
          <w:lang w:val="en-US"/>
        </w:rPr>
        <w:t xml:space="preserve"> body’s significance without erasing its signifying capacities. </w:t>
      </w:r>
    </w:p>
    <w:p w14:paraId="1A417E4B" w14:textId="5DB3D3E7" w:rsidR="0090120A" w:rsidRPr="00765407" w:rsidRDefault="0090120A" w:rsidP="00FA5791">
      <w:pPr>
        <w:spacing w:line="360" w:lineRule="auto"/>
        <w:jc w:val="both"/>
        <w:rPr>
          <w:rFonts w:ascii="Garamond" w:hAnsi="Garamond" w:cs="Arial"/>
          <w:color w:val="000000"/>
          <w:shd w:val="clear" w:color="auto" w:fill="FFFFFF"/>
        </w:rPr>
      </w:pPr>
      <w:r w:rsidRPr="00765407">
        <w:rPr>
          <w:rFonts w:ascii="Garamond" w:hAnsi="Garamond"/>
          <w:lang w:val="en-US"/>
        </w:rPr>
        <w:tab/>
        <w:t xml:space="preserve">As a political grammar of democracy, representation misconstrues the relationship between the king’s two bodies. </w:t>
      </w:r>
      <w:r w:rsidRPr="00765407">
        <w:rPr>
          <w:rFonts w:ascii="Garamond" w:hAnsi="Garamond" w:cs="Arial"/>
          <w:color w:val="000000"/>
          <w:shd w:val="clear" w:color="auto" w:fill="FFFFFF"/>
        </w:rPr>
        <w:t>Theorists of the king’s two bodies did not claim that the king’s physical body represented the metaphysical body politic</w:t>
      </w:r>
      <w:r w:rsidR="006F1E04" w:rsidRPr="00765407">
        <w:rPr>
          <w:rFonts w:ascii="Garamond" w:hAnsi="Garamond" w:cs="Arial"/>
          <w:color w:val="000000"/>
          <w:shd w:val="clear" w:color="auto" w:fill="FFFFFF"/>
        </w:rPr>
        <w:t xml:space="preserve">. Rather, </w:t>
      </w:r>
      <w:r w:rsidRPr="00765407">
        <w:rPr>
          <w:rFonts w:ascii="Garamond" w:hAnsi="Garamond"/>
          <w:lang w:val="en-US"/>
        </w:rPr>
        <w:t xml:space="preserve">as </w:t>
      </w:r>
      <w:proofErr w:type="spellStart"/>
      <w:r w:rsidRPr="00765407">
        <w:rPr>
          <w:rFonts w:ascii="Garamond" w:hAnsi="Garamond"/>
          <w:lang w:val="en-US"/>
        </w:rPr>
        <w:t>Kantorowicz’s</w:t>
      </w:r>
      <w:proofErr w:type="spellEnd"/>
      <w:r w:rsidRPr="00765407">
        <w:rPr>
          <w:rFonts w:ascii="Garamond" w:hAnsi="Garamond"/>
          <w:lang w:val="en-US"/>
        </w:rPr>
        <w:t xml:space="preserve"> </w:t>
      </w:r>
      <w:r w:rsidRPr="00765407">
        <w:rPr>
          <w:rFonts w:ascii="Garamond" w:hAnsi="Garamond" w:cs="Arial"/>
          <w:color w:val="000000"/>
          <w:shd w:val="clear" w:color="auto" w:fill="FFFFFF"/>
        </w:rPr>
        <w:t>archive shows,</w:t>
      </w:r>
      <w:r w:rsidR="006F1E04" w:rsidRPr="00765407">
        <w:rPr>
          <w:rFonts w:ascii="Garamond" w:hAnsi="Garamond" w:cs="Arial"/>
          <w:color w:val="000000"/>
          <w:shd w:val="clear" w:color="auto" w:fill="FFFFFF"/>
        </w:rPr>
        <w:t xml:space="preserve"> the king’s body politic and body natural “</w:t>
      </w:r>
      <w:r w:rsidRPr="00765407">
        <w:rPr>
          <w:rFonts w:ascii="Garamond" w:hAnsi="Garamond" w:cs="Arial"/>
          <w:color w:val="000000"/>
          <w:shd w:val="clear" w:color="auto" w:fill="FFFFFF"/>
        </w:rPr>
        <w:t xml:space="preserve">are </w:t>
      </w:r>
      <w:r w:rsidRPr="00765407">
        <w:rPr>
          <w:rFonts w:ascii="Garamond" w:hAnsi="Garamond" w:cs="Arial"/>
          <w:i/>
          <w:iCs/>
          <w:color w:val="000000"/>
          <w:shd w:val="clear" w:color="auto" w:fill="FFFFFF"/>
        </w:rPr>
        <w:t>incorporated</w:t>
      </w:r>
      <w:r w:rsidRPr="00765407">
        <w:rPr>
          <w:rFonts w:ascii="Garamond" w:hAnsi="Garamond" w:cs="Arial"/>
          <w:color w:val="000000"/>
          <w:shd w:val="clear" w:color="auto" w:fill="FFFFFF"/>
        </w:rPr>
        <w:t xml:space="preserve"> in one Person.”</w:t>
      </w:r>
      <w:r w:rsidRPr="00765407">
        <w:rPr>
          <w:rStyle w:val="FootnoteReference"/>
          <w:rFonts w:ascii="Garamond" w:hAnsi="Garamond" w:cs="Arial"/>
          <w:color w:val="000000"/>
          <w:shd w:val="clear" w:color="auto" w:fill="FFFFFF"/>
        </w:rPr>
        <w:footnoteReference w:id="47"/>
      </w:r>
      <w:r w:rsidRPr="00765407">
        <w:rPr>
          <w:rFonts w:ascii="Garamond" w:hAnsi="Garamond" w:cs="Arial"/>
          <w:color w:val="000000"/>
          <w:shd w:val="clear" w:color="auto" w:fill="FFFFFF"/>
        </w:rPr>
        <w:t xml:space="preserve"> Why would jurists of the monarchy employ a language of incorporation rather than representation to </w:t>
      </w:r>
      <w:r w:rsidR="006F1E04" w:rsidRPr="00765407">
        <w:rPr>
          <w:rFonts w:ascii="Garamond" w:hAnsi="Garamond" w:cs="Arial"/>
          <w:color w:val="000000"/>
          <w:shd w:val="clear" w:color="auto" w:fill="FFFFFF"/>
        </w:rPr>
        <w:t>theorize</w:t>
      </w:r>
      <w:r w:rsidRPr="00765407">
        <w:rPr>
          <w:rFonts w:ascii="Garamond" w:hAnsi="Garamond" w:cs="Arial"/>
          <w:color w:val="000000"/>
          <w:shd w:val="clear" w:color="auto" w:fill="FFFFFF"/>
        </w:rPr>
        <w:t xml:space="preserve"> the relationship </w:t>
      </w:r>
      <w:r w:rsidR="006F1E04" w:rsidRPr="00765407">
        <w:rPr>
          <w:rFonts w:ascii="Garamond" w:hAnsi="Garamond" w:cs="Arial"/>
          <w:color w:val="000000"/>
          <w:shd w:val="clear" w:color="auto" w:fill="FFFFFF"/>
        </w:rPr>
        <w:t xml:space="preserve">of the king’s two bodies? </w:t>
      </w:r>
      <w:r w:rsidRPr="00765407">
        <w:rPr>
          <w:rFonts w:ascii="Garamond" w:hAnsi="Garamond" w:cs="Arial"/>
          <w:color w:val="000000"/>
          <w:shd w:val="clear" w:color="auto" w:fill="FFFFFF"/>
        </w:rPr>
        <w:t xml:space="preserve">Historically, as Hanna Pitkin argues, the grammar of representation was employed not to think the relationship between the </w:t>
      </w:r>
      <w:r w:rsidR="006F1E04" w:rsidRPr="00765407">
        <w:rPr>
          <w:rFonts w:ascii="Garamond" w:hAnsi="Garamond" w:cs="Arial"/>
          <w:color w:val="000000"/>
          <w:shd w:val="clear" w:color="auto" w:fill="FFFFFF"/>
        </w:rPr>
        <w:t xml:space="preserve">king and the </w:t>
      </w:r>
      <w:r w:rsidRPr="00765407">
        <w:rPr>
          <w:rFonts w:ascii="Garamond" w:hAnsi="Garamond" w:cs="Arial"/>
          <w:color w:val="000000"/>
          <w:shd w:val="clear" w:color="auto" w:fill="FFFFFF"/>
        </w:rPr>
        <w:t xml:space="preserve">kingdom </w:t>
      </w:r>
      <w:r w:rsidR="006F1E04" w:rsidRPr="00765407">
        <w:rPr>
          <w:rFonts w:ascii="Garamond" w:hAnsi="Garamond" w:cs="Arial"/>
          <w:color w:val="000000"/>
          <w:shd w:val="clear" w:color="auto" w:fill="FFFFFF"/>
        </w:rPr>
        <w:t xml:space="preserve">but rather but </w:t>
      </w:r>
      <w:r w:rsidRPr="00765407">
        <w:rPr>
          <w:rFonts w:ascii="Garamond" w:hAnsi="Garamond" w:cs="Arial"/>
          <w:color w:val="000000"/>
          <w:shd w:val="clear" w:color="auto" w:fill="FFFFFF"/>
        </w:rPr>
        <w:t>parliament</w:t>
      </w:r>
      <w:r w:rsidR="006F1E04" w:rsidRPr="00765407">
        <w:rPr>
          <w:rFonts w:ascii="Garamond" w:hAnsi="Garamond" w:cs="Arial"/>
          <w:color w:val="000000"/>
          <w:shd w:val="clear" w:color="auto" w:fill="FFFFFF"/>
        </w:rPr>
        <w:t xml:space="preserve"> and kingdom</w:t>
      </w:r>
      <w:r w:rsidRPr="00765407">
        <w:rPr>
          <w:rFonts w:ascii="Garamond" w:hAnsi="Garamond" w:cs="Arial"/>
          <w:color w:val="000000"/>
          <w:shd w:val="clear" w:color="auto" w:fill="FFFFFF"/>
        </w:rPr>
        <w:t>.</w:t>
      </w:r>
      <w:r w:rsidRPr="00765407">
        <w:rPr>
          <w:rStyle w:val="FootnoteReference"/>
          <w:rFonts w:ascii="Garamond" w:hAnsi="Garamond"/>
          <w:lang w:val="en-US"/>
        </w:rPr>
        <w:footnoteReference w:id="48"/>
      </w:r>
      <w:r w:rsidRPr="00765407">
        <w:rPr>
          <w:rFonts w:ascii="Garamond" w:hAnsi="Garamond" w:cs="Arial"/>
          <w:color w:val="000000"/>
          <w:shd w:val="clear" w:color="auto" w:fill="FFFFFF"/>
        </w:rPr>
        <w:t xml:space="preserve"> In one </w:t>
      </w:r>
      <w:r w:rsidRPr="00765407">
        <w:rPr>
          <w:rFonts w:ascii="Garamond" w:hAnsi="Garamond"/>
          <w:lang w:val="en-US"/>
        </w:rPr>
        <w:t xml:space="preserve">of the earliest texts employing the language of representation </w:t>
      </w:r>
      <w:r w:rsidRPr="00765407">
        <w:rPr>
          <w:rFonts w:ascii="Garamond" w:hAnsi="Garamond" w:cs="Arial"/>
          <w:color w:val="000000"/>
          <w:shd w:val="clear" w:color="auto" w:fill="FFFFFF"/>
        </w:rPr>
        <w:t xml:space="preserve">to describe parliament’s relationship to the body politic, Sir Thomas Smith’s 1583 </w:t>
      </w:r>
      <w:r w:rsidRPr="00765407">
        <w:rPr>
          <w:rFonts w:ascii="Garamond" w:hAnsi="Garamond" w:cs="Arial"/>
          <w:i/>
          <w:iCs/>
          <w:color w:val="000000"/>
          <w:shd w:val="clear" w:color="auto" w:fill="FFFFFF"/>
        </w:rPr>
        <w:t xml:space="preserve">De </w:t>
      </w:r>
      <w:proofErr w:type="spellStart"/>
      <w:r w:rsidRPr="00765407">
        <w:rPr>
          <w:rFonts w:ascii="Garamond" w:hAnsi="Garamond" w:cs="Arial"/>
          <w:i/>
          <w:iCs/>
          <w:color w:val="000000"/>
          <w:shd w:val="clear" w:color="auto" w:fill="FFFFFF"/>
        </w:rPr>
        <w:t>Republica</w:t>
      </w:r>
      <w:proofErr w:type="spellEnd"/>
      <w:r w:rsidRPr="00765407">
        <w:rPr>
          <w:rFonts w:ascii="Garamond" w:hAnsi="Garamond" w:cs="Arial"/>
          <w:i/>
          <w:iCs/>
          <w:color w:val="000000"/>
          <w:shd w:val="clear" w:color="auto" w:fill="FFFFFF"/>
        </w:rPr>
        <w:t xml:space="preserve"> </w:t>
      </w:r>
      <w:proofErr w:type="spellStart"/>
      <w:r w:rsidRPr="00765407">
        <w:rPr>
          <w:rFonts w:ascii="Garamond" w:hAnsi="Garamond" w:cs="Arial"/>
          <w:i/>
          <w:iCs/>
          <w:color w:val="000000"/>
          <w:shd w:val="clear" w:color="auto" w:fill="FFFFFF"/>
        </w:rPr>
        <w:t>Anglorum</w:t>
      </w:r>
      <w:proofErr w:type="spellEnd"/>
      <w:r w:rsidRPr="00765407">
        <w:rPr>
          <w:rFonts w:ascii="Garamond" w:hAnsi="Garamond" w:cs="Arial"/>
          <w:i/>
          <w:iCs/>
          <w:color w:val="000000"/>
          <w:shd w:val="clear" w:color="auto" w:fill="FFFFFF"/>
        </w:rPr>
        <w:t xml:space="preserve"> </w:t>
      </w:r>
      <w:r w:rsidRPr="00765407">
        <w:rPr>
          <w:rFonts w:ascii="Garamond" w:hAnsi="Garamond" w:cs="Arial"/>
          <w:color w:val="000000"/>
          <w:shd w:val="clear" w:color="auto" w:fill="FFFFFF"/>
        </w:rPr>
        <w:t>argues that parliament “</w:t>
      </w:r>
      <w:proofErr w:type="spellStart"/>
      <w:r w:rsidRPr="00765407">
        <w:rPr>
          <w:rFonts w:ascii="Garamond" w:hAnsi="Garamond"/>
          <w:color w:val="000000"/>
          <w:shd w:val="clear" w:color="auto" w:fill="FFFFFF"/>
        </w:rPr>
        <w:t>representeth</w:t>
      </w:r>
      <w:proofErr w:type="spellEnd"/>
      <w:r w:rsidRPr="00765407">
        <w:rPr>
          <w:rFonts w:ascii="Garamond" w:hAnsi="Garamond"/>
          <w:color w:val="000000"/>
          <w:shd w:val="clear" w:color="auto" w:fill="FFFFFF"/>
        </w:rPr>
        <w:t xml:space="preserve"> &amp; hath the power of the whole </w:t>
      </w:r>
      <w:proofErr w:type="spellStart"/>
      <w:r w:rsidRPr="00765407">
        <w:rPr>
          <w:rFonts w:ascii="Garamond" w:hAnsi="Garamond"/>
          <w:color w:val="000000"/>
          <w:shd w:val="clear" w:color="auto" w:fill="FFFFFF"/>
        </w:rPr>
        <w:t>realme</w:t>
      </w:r>
      <w:proofErr w:type="spellEnd"/>
      <w:r w:rsidRPr="00765407">
        <w:rPr>
          <w:rFonts w:ascii="Garamond" w:hAnsi="Garamond"/>
          <w:color w:val="000000"/>
          <w:shd w:val="clear" w:color="auto" w:fill="FFFFFF"/>
        </w:rPr>
        <w:t xml:space="preserve"> both the head and the </w:t>
      </w:r>
      <w:proofErr w:type="spellStart"/>
      <w:r w:rsidRPr="00765407">
        <w:rPr>
          <w:rFonts w:ascii="Garamond" w:hAnsi="Garamond"/>
          <w:color w:val="000000"/>
          <w:shd w:val="clear" w:color="auto" w:fill="FFFFFF"/>
        </w:rPr>
        <w:t>bodie</w:t>
      </w:r>
      <w:proofErr w:type="spellEnd"/>
      <w:r w:rsidRPr="00765407">
        <w:rPr>
          <w:rFonts w:ascii="Garamond" w:hAnsi="Garamond"/>
          <w:color w:val="000000"/>
          <w:shd w:val="clear" w:color="auto" w:fill="FFFFFF"/>
        </w:rPr>
        <w:t xml:space="preserve">. For </w:t>
      </w:r>
      <w:proofErr w:type="spellStart"/>
      <w:r w:rsidRPr="00765407">
        <w:rPr>
          <w:rFonts w:ascii="Garamond" w:hAnsi="Garamond"/>
          <w:color w:val="000000"/>
          <w:shd w:val="clear" w:color="auto" w:fill="FFFFFF"/>
        </w:rPr>
        <w:t>everie</w:t>
      </w:r>
      <w:proofErr w:type="spellEnd"/>
      <w:r w:rsidRPr="00765407">
        <w:rPr>
          <w:rFonts w:ascii="Garamond" w:hAnsi="Garamond"/>
          <w:color w:val="000000"/>
          <w:shd w:val="clear" w:color="auto" w:fill="FFFFFF"/>
        </w:rPr>
        <w:t xml:space="preserve"> Englishman is </w:t>
      </w:r>
      <w:proofErr w:type="spellStart"/>
      <w:r w:rsidRPr="00765407">
        <w:rPr>
          <w:rFonts w:ascii="Garamond" w:hAnsi="Garamond"/>
          <w:color w:val="000000"/>
          <w:shd w:val="clear" w:color="auto" w:fill="FFFFFF"/>
        </w:rPr>
        <w:t>entended</w:t>
      </w:r>
      <w:proofErr w:type="spellEnd"/>
      <w:r w:rsidRPr="00765407">
        <w:rPr>
          <w:rFonts w:ascii="Garamond" w:hAnsi="Garamond"/>
          <w:color w:val="000000"/>
          <w:shd w:val="clear" w:color="auto" w:fill="FFFFFF"/>
        </w:rPr>
        <w:t xml:space="preserve"> to </w:t>
      </w:r>
      <w:proofErr w:type="spellStart"/>
      <w:r w:rsidRPr="00765407">
        <w:rPr>
          <w:rFonts w:ascii="Garamond" w:hAnsi="Garamond"/>
          <w:color w:val="000000"/>
          <w:shd w:val="clear" w:color="auto" w:fill="FFFFFF"/>
        </w:rPr>
        <w:t>bee</w:t>
      </w:r>
      <w:proofErr w:type="spellEnd"/>
      <w:r w:rsidRPr="00765407">
        <w:rPr>
          <w:rFonts w:ascii="Garamond" w:hAnsi="Garamond"/>
          <w:color w:val="000000"/>
          <w:shd w:val="clear" w:color="auto" w:fill="FFFFFF"/>
        </w:rPr>
        <w:t xml:space="preserve"> there present, either in person or by procuration and </w:t>
      </w:r>
      <w:proofErr w:type="spellStart"/>
      <w:r w:rsidRPr="00765407">
        <w:rPr>
          <w:rFonts w:ascii="Garamond" w:hAnsi="Garamond"/>
          <w:color w:val="000000"/>
          <w:shd w:val="clear" w:color="auto" w:fill="FFFFFF"/>
        </w:rPr>
        <w:t>attornies</w:t>
      </w:r>
      <w:proofErr w:type="spellEnd"/>
      <w:r w:rsidRPr="00765407">
        <w:rPr>
          <w:rFonts w:ascii="Garamond" w:hAnsi="Garamond"/>
          <w:color w:val="000000"/>
          <w:shd w:val="clear" w:color="auto" w:fill="FFFFFF"/>
        </w:rPr>
        <w:t xml:space="preserve">… from the </w:t>
      </w:r>
      <w:proofErr w:type="gramStart"/>
      <w:r w:rsidRPr="00765407">
        <w:rPr>
          <w:rFonts w:ascii="Garamond" w:hAnsi="Garamond"/>
          <w:color w:val="000000"/>
          <w:shd w:val="clear" w:color="auto" w:fill="FFFFFF"/>
        </w:rPr>
        <w:t>Prince</w:t>
      </w:r>
      <w:proofErr w:type="gramEnd"/>
      <w:r w:rsidRPr="00765407">
        <w:rPr>
          <w:rFonts w:ascii="Garamond" w:hAnsi="Garamond"/>
          <w:color w:val="000000"/>
          <w:shd w:val="clear" w:color="auto" w:fill="FFFFFF"/>
        </w:rPr>
        <w:t xml:space="preserve"> (be he King or </w:t>
      </w:r>
      <w:proofErr w:type="spellStart"/>
      <w:r w:rsidRPr="00765407">
        <w:rPr>
          <w:rFonts w:ascii="Garamond" w:hAnsi="Garamond"/>
          <w:color w:val="000000"/>
          <w:shd w:val="clear" w:color="auto" w:fill="FFFFFF"/>
        </w:rPr>
        <w:t>Quéene</w:t>
      </w:r>
      <w:proofErr w:type="spellEnd"/>
      <w:r w:rsidRPr="00765407">
        <w:rPr>
          <w:rFonts w:ascii="Garamond" w:hAnsi="Garamond"/>
          <w:color w:val="000000"/>
          <w:shd w:val="clear" w:color="auto" w:fill="FFFFFF"/>
        </w:rPr>
        <w:t xml:space="preserve">) to the lowest person of </w:t>
      </w:r>
      <w:proofErr w:type="spellStart"/>
      <w:r w:rsidRPr="00765407">
        <w:rPr>
          <w:rFonts w:ascii="Garamond" w:hAnsi="Garamond"/>
          <w:color w:val="000000"/>
          <w:shd w:val="clear" w:color="auto" w:fill="FFFFFF"/>
        </w:rPr>
        <w:t>Englande</w:t>
      </w:r>
      <w:proofErr w:type="spellEnd"/>
      <w:r w:rsidRPr="00765407">
        <w:rPr>
          <w:rFonts w:ascii="Garamond" w:hAnsi="Garamond"/>
          <w:color w:val="000000"/>
          <w:shd w:val="clear" w:color="auto" w:fill="FFFFFF"/>
        </w:rPr>
        <w:t>.”</w:t>
      </w:r>
      <w:r w:rsidRPr="00765407">
        <w:rPr>
          <w:rStyle w:val="FootnoteReference"/>
          <w:rFonts w:ascii="Garamond" w:hAnsi="Garamond"/>
          <w:color w:val="000000"/>
          <w:shd w:val="clear" w:color="auto" w:fill="FFFFFF"/>
        </w:rPr>
        <w:footnoteReference w:id="49"/>
      </w:r>
      <w:r w:rsidRPr="00765407">
        <w:rPr>
          <w:rFonts w:ascii="Garamond" w:hAnsi="Garamond"/>
          <w:color w:val="000000"/>
          <w:shd w:val="clear" w:color="auto" w:fill="FFFFFF"/>
        </w:rPr>
        <w:t xml:space="preserve"> According to Smith, </w:t>
      </w:r>
      <w:r w:rsidRPr="00765407">
        <w:rPr>
          <w:rFonts w:ascii="Garamond" w:hAnsi="Garamond" w:cs="Arial"/>
          <w:color w:val="000000"/>
          <w:shd w:val="clear" w:color="auto" w:fill="FFFFFF"/>
        </w:rPr>
        <w:t>parliament represents the realm because in its houses are present every Englishman. These men, he claims, are either literally present in their own person (Lords, Bishops, and Prince) or they are made present “</w:t>
      </w:r>
      <w:r w:rsidRPr="00765407">
        <w:rPr>
          <w:rFonts w:ascii="Garamond" w:hAnsi="Garamond"/>
          <w:color w:val="000000"/>
          <w:shd w:val="clear" w:color="auto" w:fill="FFFFFF"/>
        </w:rPr>
        <w:t xml:space="preserve">by procuration and </w:t>
      </w:r>
      <w:proofErr w:type="spellStart"/>
      <w:r w:rsidRPr="00765407">
        <w:rPr>
          <w:rFonts w:ascii="Garamond" w:hAnsi="Garamond"/>
          <w:color w:val="000000"/>
          <w:shd w:val="clear" w:color="auto" w:fill="FFFFFF"/>
        </w:rPr>
        <w:t>attornies</w:t>
      </w:r>
      <w:proofErr w:type="spellEnd"/>
      <w:r w:rsidRPr="00765407">
        <w:rPr>
          <w:rFonts w:ascii="Garamond" w:hAnsi="Garamond"/>
          <w:color w:val="000000"/>
          <w:shd w:val="clear" w:color="auto" w:fill="FFFFFF"/>
        </w:rPr>
        <w:t>”</w:t>
      </w:r>
      <w:r w:rsidRPr="00765407">
        <w:rPr>
          <w:rFonts w:ascii="Garamond" w:hAnsi="Garamond" w:cs="Arial"/>
          <w:color w:val="000000"/>
          <w:shd w:val="clear" w:color="auto" w:fill="FFFFFF"/>
        </w:rPr>
        <w:t xml:space="preserve"> (Commons).</w:t>
      </w:r>
      <w:r w:rsidRPr="00765407">
        <w:rPr>
          <w:rStyle w:val="FootnoteReference"/>
          <w:rFonts w:ascii="Garamond" w:hAnsi="Garamond" w:cs="Arial"/>
          <w:color w:val="000000"/>
          <w:shd w:val="clear" w:color="auto" w:fill="FFFFFF"/>
        </w:rPr>
        <w:footnoteReference w:id="50"/>
      </w:r>
      <w:r w:rsidRPr="00765407">
        <w:rPr>
          <w:rFonts w:ascii="Garamond" w:hAnsi="Garamond" w:cs="Arial"/>
          <w:color w:val="000000"/>
          <w:shd w:val="clear" w:color="auto" w:fill="FFFFFF"/>
        </w:rPr>
        <w:t xml:space="preserve"> The grammar of representation renders grammatically intelligible parliament’s claim to act as and for the kingdom, since political representation describes parliament’s power to make present the entirety of the body politic in its houses. </w:t>
      </w:r>
    </w:p>
    <w:p w14:paraId="191ADA67" w14:textId="5B0AF01E" w:rsidR="00E42A2B" w:rsidRPr="00765407" w:rsidRDefault="0090120A" w:rsidP="00FA5791">
      <w:pPr>
        <w:spacing w:line="360" w:lineRule="auto"/>
        <w:ind w:firstLine="720"/>
        <w:jc w:val="both"/>
        <w:rPr>
          <w:rFonts w:ascii="Garamond" w:hAnsi="Garamond"/>
          <w:color w:val="000000" w:themeColor="text1"/>
          <w:shd w:val="clear" w:color="auto" w:fill="FFFFFF"/>
        </w:rPr>
      </w:pPr>
      <w:r w:rsidRPr="00765407">
        <w:rPr>
          <w:rFonts w:ascii="Garamond" w:hAnsi="Garamond" w:cs="Arial"/>
          <w:color w:val="000000"/>
          <w:shd w:val="clear" w:color="auto" w:fill="FFFFFF"/>
        </w:rPr>
        <w:t xml:space="preserve">Central to the </w:t>
      </w:r>
      <w:r w:rsidR="006F1E04" w:rsidRPr="00765407">
        <w:rPr>
          <w:rFonts w:ascii="Garamond" w:hAnsi="Garamond" w:cs="Arial"/>
          <w:color w:val="000000"/>
          <w:shd w:val="clear" w:color="auto" w:fill="FFFFFF"/>
        </w:rPr>
        <w:t xml:space="preserve">political </w:t>
      </w:r>
      <w:r w:rsidRPr="00765407">
        <w:rPr>
          <w:rFonts w:ascii="Garamond" w:hAnsi="Garamond" w:cs="Arial"/>
          <w:color w:val="000000"/>
          <w:shd w:val="clear" w:color="auto" w:fill="FFFFFF"/>
        </w:rPr>
        <w:t>grammar of representation is then a logic of absence: parliament makes present those who are otherwise absent.</w:t>
      </w:r>
      <w:r w:rsidRPr="00765407">
        <w:rPr>
          <w:rStyle w:val="FootnoteReference"/>
          <w:rFonts w:ascii="Garamond" w:hAnsi="Garamond" w:cs="Arial"/>
          <w:color w:val="000000"/>
          <w:shd w:val="clear" w:color="auto" w:fill="FFFFFF"/>
        </w:rPr>
        <w:footnoteReference w:id="51"/>
      </w:r>
      <w:r w:rsidRPr="00765407">
        <w:rPr>
          <w:rFonts w:ascii="Garamond" w:hAnsi="Garamond" w:cs="Arial"/>
          <w:color w:val="000000"/>
          <w:shd w:val="clear" w:color="auto" w:fill="FFFFFF"/>
        </w:rPr>
        <w:t xml:space="preserve"> Since the king could not be present everywhere and others had to act in his place, so too were the king’s agents said to represent, i.e. make present again, the absent monarch and his authority.</w:t>
      </w:r>
      <w:r w:rsidRPr="00765407">
        <w:rPr>
          <w:rStyle w:val="FootnoteReference"/>
          <w:rFonts w:ascii="Garamond" w:hAnsi="Garamond" w:cs="Arial"/>
          <w:color w:val="000000"/>
          <w:shd w:val="clear" w:color="auto" w:fill="FFFFFF"/>
        </w:rPr>
        <w:footnoteReference w:id="52"/>
      </w:r>
      <w:r w:rsidRPr="00765407">
        <w:rPr>
          <w:rFonts w:ascii="Garamond" w:hAnsi="Garamond" w:cs="Arial"/>
          <w:color w:val="000000"/>
          <w:shd w:val="clear" w:color="auto" w:fill="FFFFFF"/>
        </w:rPr>
        <w:t xml:space="preserve"> This logic of absence so central to representation </w:t>
      </w:r>
      <w:r w:rsidRPr="00765407">
        <w:rPr>
          <w:rFonts w:ascii="Garamond" w:hAnsi="Garamond" w:cs="Arial"/>
          <w:color w:val="000000"/>
          <w:shd w:val="clear" w:color="auto" w:fill="FFFFFF"/>
        </w:rPr>
        <w:lastRenderedPageBreak/>
        <w:t xml:space="preserve">fails to adequately capture the relationship of the king’s two bodies because the king does not make present an otherwise absent body politic. Unlike for the king’s agents or for parliament, the body politic is never absent from the king’s natural body. Royalists did not view the king’s two bodies as separable </w:t>
      </w:r>
      <w:proofErr w:type="gramStart"/>
      <w:r w:rsidRPr="00765407">
        <w:rPr>
          <w:rFonts w:ascii="Garamond" w:hAnsi="Garamond" w:cs="Arial"/>
          <w:color w:val="000000"/>
          <w:shd w:val="clear" w:color="auto" w:fill="FFFFFF"/>
        </w:rPr>
        <w:t>but,</w:t>
      </w:r>
      <w:proofErr w:type="gramEnd"/>
      <w:r w:rsidRPr="00765407">
        <w:rPr>
          <w:rFonts w:ascii="Garamond" w:hAnsi="Garamond" w:cs="Arial"/>
          <w:color w:val="000000"/>
          <w:shd w:val="clear" w:color="auto" w:fill="FFFFFF"/>
        </w:rPr>
        <w:t xml:space="preserve"> as various scholars have put it, “</w:t>
      </w:r>
      <w:r w:rsidRPr="00765407">
        <w:rPr>
          <w:rFonts w:ascii="Garamond" w:hAnsi="Garamond"/>
        </w:rPr>
        <w:t>indivisible,” “</w:t>
      </w:r>
      <w:proofErr w:type="spellStart"/>
      <w:r w:rsidRPr="00765407">
        <w:rPr>
          <w:rFonts w:ascii="Garamond" w:hAnsi="Garamond"/>
        </w:rPr>
        <w:t>indissolub</w:t>
      </w:r>
      <w:proofErr w:type="spellEnd"/>
      <w:r w:rsidRPr="00765407">
        <w:rPr>
          <w:rFonts w:ascii="Garamond" w:hAnsi="Garamond"/>
        </w:rPr>
        <w:t>[le]” and “fused” together “in the actual person of the king.”</w:t>
      </w:r>
      <w:r w:rsidRPr="00765407">
        <w:rPr>
          <w:rStyle w:val="FootnoteReference"/>
          <w:rFonts w:ascii="Garamond" w:hAnsi="Garamond"/>
        </w:rPr>
        <w:footnoteReference w:id="53"/>
      </w:r>
      <w:r w:rsidRPr="00765407">
        <w:rPr>
          <w:rFonts w:ascii="Garamond" w:hAnsi="Garamond"/>
        </w:rPr>
        <w:t xml:space="preserve"> </w:t>
      </w:r>
      <w:r w:rsidR="00E42A2B" w:rsidRPr="00765407">
        <w:rPr>
          <w:rFonts w:ascii="Garamond" w:hAnsi="Garamond"/>
        </w:rPr>
        <w:t>Contemporaries</w:t>
      </w:r>
      <w:r w:rsidR="00E42A2B" w:rsidRPr="00765407">
        <w:rPr>
          <w:rFonts w:ascii="Garamond" w:hAnsi="Garamond"/>
        </w:rPr>
        <w:t xml:space="preserve"> preferred the term ‘incorporated’ and the concept underwent much elaboration at the start of</w:t>
      </w:r>
      <w:r w:rsidR="00431426">
        <w:rPr>
          <w:rFonts w:ascii="Garamond" w:hAnsi="Garamond"/>
        </w:rPr>
        <w:t xml:space="preserve"> the</w:t>
      </w:r>
      <w:r w:rsidR="00E42A2B" w:rsidRPr="00765407">
        <w:rPr>
          <w:rFonts w:ascii="Garamond" w:hAnsi="Garamond"/>
        </w:rPr>
        <w:t xml:space="preserve"> </w:t>
      </w:r>
      <w:r w:rsidR="00E42A2B" w:rsidRPr="00765407">
        <w:rPr>
          <w:rFonts w:ascii="Garamond" w:hAnsi="Garamond"/>
        </w:rPr>
        <w:t>17</w:t>
      </w:r>
      <w:r w:rsidR="00E42A2B" w:rsidRPr="00765407">
        <w:rPr>
          <w:rFonts w:ascii="Garamond" w:hAnsi="Garamond"/>
          <w:vertAlign w:val="superscript"/>
        </w:rPr>
        <w:t>th</w:t>
      </w:r>
      <w:r w:rsidR="00E42A2B" w:rsidRPr="00765407">
        <w:rPr>
          <w:rFonts w:ascii="Garamond" w:hAnsi="Garamond"/>
        </w:rPr>
        <w:t xml:space="preserve"> century.</w:t>
      </w:r>
      <w:r w:rsidR="00E42A2B" w:rsidRPr="00765407">
        <w:rPr>
          <w:rFonts w:ascii="Garamond" w:hAnsi="Garamond"/>
        </w:rPr>
        <w:t xml:space="preserve"> </w:t>
      </w:r>
      <w:r w:rsidR="00E42A2B" w:rsidRPr="00765407">
        <w:rPr>
          <w:rFonts w:ascii="Garamond" w:hAnsi="Garamond"/>
          <w:lang w:val="en-US"/>
        </w:rPr>
        <w:t xml:space="preserve">Upon news that James VI of Scotland would inherit the crown of England, </w:t>
      </w:r>
      <w:r w:rsidR="00E42A2B" w:rsidRPr="00765407">
        <w:rPr>
          <w:rFonts w:ascii="Garamond" w:hAnsi="Garamond"/>
          <w:lang w:val="en-US"/>
        </w:rPr>
        <w:t>contemporaries</w:t>
      </w:r>
      <w:r w:rsidR="00E42A2B" w:rsidRPr="00765407">
        <w:rPr>
          <w:rFonts w:ascii="Garamond" w:hAnsi="Garamond"/>
          <w:lang w:val="en-US"/>
        </w:rPr>
        <w:t xml:space="preserve"> worried that James’s accession would create a dual monarchy, “</w:t>
      </w:r>
      <w:r w:rsidR="00E42A2B" w:rsidRPr="00765407">
        <w:rPr>
          <w:rFonts w:ascii="Garamond" w:hAnsi="Garamond"/>
        </w:rPr>
        <w:t>two civil or politic bodies, his two kingdoms Scotland and England.”</w:t>
      </w:r>
      <w:r w:rsidR="00E42A2B" w:rsidRPr="00765407">
        <w:rPr>
          <w:rStyle w:val="FootnoteReference"/>
          <w:rFonts w:ascii="Garamond" w:hAnsi="Garamond"/>
        </w:rPr>
        <w:footnoteReference w:id="54"/>
      </w:r>
      <w:r w:rsidR="00E42A2B" w:rsidRPr="00765407">
        <w:rPr>
          <w:rFonts w:ascii="Garamond" w:hAnsi="Garamond"/>
          <w:lang w:val="en-US"/>
        </w:rPr>
        <w:t xml:space="preserve"> Confronting the problem of how to make sense of the union, </w:t>
      </w:r>
      <w:r w:rsidR="00E42A2B" w:rsidRPr="00765407">
        <w:rPr>
          <w:rFonts w:ascii="Garamond" w:hAnsi="Garamond"/>
          <w:color w:val="000000" w:themeColor="text1"/>
        </w:rPr>
        <w:t>the jurist Francis Bacon dedicated to the new king on the eve of his coronation a work on the “Happy Union of the Kingdoms of England and Scotland.”</w:t>
      </w:r>
      <w:r w:rsidR="00E42A2B" w:rsidRPr="00765407">
        <w:rPr>
          <w:rStyle w:val="FootnoteReference"/>
          <w:rFonts w:ascii="Garamond" w:hAnsi="Garamond" w:cs="Arial"/>
          <w:color w:val="000000" w:themeColor="text1"/>
          <w:shd w:val="clear" w:color="auto" w:fill="FFFFFF"/>
        </w:rPr>
        <w:footnoteReference w:id="55"/>
      </w:r>
      <w:r w:rsidR="00E42A2B" w:rsidRPr="00765407">
        <w:rPr>
          <w:rFonts w:ascii="Garamond" w:hAnsi="Garamond" w:cs="Arial"/>
          <w:color w:val="000000" w:themeColor="text1"/>
          <w:shd w:val="clear" w:color="auto" w:fill="FFFFFF"/>
        </w:rPr>
        <w:t xml:space="preserve"> In his attempt to show the juridical feasibility of the sovereign’s bid to unite the two realms, Bacon argued that in nature we find substances such as oil and water that can be mixed together but over time will separate, revealing “</w:t>
      </w:r>
      <w:r w:rsidR="00E42A2B" w:rsidRPr="00765407">
        <w:rPr>
          <w:rFonts w:ascii="Garamond" w:hAnsi="Garamond"/>
          <w:color w:val="000000" w:themeColor="text1"/>
          <w:shd w:val="clear" w:color="auto" w:fill="FFFFFF"/>
        </w:rPr>
        <w:t xml:space="preserve">how </w:t>
      </w:r>
      <w:proofErr w:type="spellStart"/>
      <w:r w:rsidR="00E42A2B" w:rsidRPr="00765407">
        <w:rPr>
          <w:rFonts w:ascii="Garamond" w:hAnsi="Garamond"/>
          <w:color w:val="000000" w:themeColor="text1"/>
          <w:shd w:val="clear" w:color="auto" w:fill="FFFFFF"/>
        </w:rPr>
        <w:t>weakely</w:t>
      </w:r>
      <w:proofErr w:type="spellEnd"/>
      <w:r w:rsidR="00E42A2B" w:rsidRPr="00765407">
        <w:rPr>
          <w:rFonts w:ascii="Garamond" w:hAnsi="Garamond"/>
          <w:color w:val="000000" w:themeColor="text1"/>
          <w:shd w:val="clear" w:color="auto" w:fill="FFFFFF"/>
        </w:rPr>
        <w:t xml:space="preserve"> and rudely they </w:t>
      </w:r>
      <w:proofErr w:type="spellStart"/>
      <w:r w:rsidR="00E42A2B" w:rsidRPr="00765407">
        <w:rPr>
          <w:rFonts w:ascii="Garamond" w:hAnsi="Garamond"/>
          <w:color w:val="000000" w:themeColor="text1"/>
          <w:shd w:val="clear" w:color="auto" w:fill="FFFFFF"/>
        </w:rPr>
        <w:t>doe</w:t>
      </w:r>
      <w:proofErr w:type="spellEnd"/>
      <w:r w:rsidR="00E42A2B" w:rsidRPr="00765407">
        <w:rPr>
          <w:rFonts w:ascii="Garamond" w:hAnsi="Garamond"/>
          <w:color w:val="000000" w:themeColor="text1"/>
          <w:shd w:val="clear" w:color="auto" w:fill="FFFFFF"/>
        </w:rPr>
        <w:t xml:space="preserve"> incorporate,” but we can also find substances that when mixed together “are so </w:t>
      </w:r>
      <w:proofErr w:type="spellStart"/>
      <w:r w:rsidR="00E42A2B" w:rsidRPr="00765407">
        <w:rPr>
          <w:rFonts w:ascii="Garamond" w:hAnsi="Garamond"/>
          <w:color w:val="000000" w:themeColor="text1"/>
          <w:shd w:val="clear" w:color="auto" w:fill="FFFFFF"/>
        </w:rPr>
        <w:t>vnited</w:t>
      </w:r>
      <w:proofErr w:type="spellEnd"/>
      <w:r w:rsidR="00E42A2B" w:rsidRPr="00765407">
        <w:rPr>
          <w:rFonts w:ascii="Garamond" w:hAnsi="Garamond"/>
          <w:color w:val="000000" w:themeColor="text1"/>
          <w:shd w:val="clear" w:color="auto" w:fill="FFFFFF"/>
        </w:rPr>
        <w:t xml:space="preserve"> … they cannot bee </w:t>
      </w:r>
      <w:proofErr w:type="spellStart"/>
      <w:r w:rsidR="00E42A2B" w:rsidRPr="00765407">
        <w:rPr>
          <w:rFonts w:ascii="Garamond" w:hAnsi="Garamond"/>
          <w:color w:val="000000" w:themeColor="text1"/>
          <w:shd w:val="clear" w:color="auto" w:fill="FFFFFF"/>
        </w:rPr>
        <w:t>seperated</w:t>
      </w:r>
      <w:proofErr w:type="spellEnd"/>
      <w:r w:rsidR="00E42A2B" w:rsidRPr="00765407">
        <w:rPr>
          <w:rFonts w:ascii="Garamond" w:hAnsi="Garamond"/>
          <w:color w:val="000000" w:themeColor="text1"/>
          <w:shd w:val="clear" w:color="auto" w:fill="FFFFFF"/>
        </w:rPr>
        <w:t xml:space="preserve"> and reduced into the same simple </w:t>
      </w:r>
      <w:proofErr w:type="spellStart"/>
      <w:r w:rsidR="00E42A2B" w:rsidRPr="00765407">
        <w:rPr>
          <w:rFonts w:ascii="Garamond" w:hAnsi="Garamond"/>
          <w:color w:val="000000" w:themeColor="text1"/>
          <w:shd w:val="clear" w:color="auto" w:fill="FFFFFF"/>
        </w:rPr>
        <w:t>bodyes</w:t>
      </w:r>
      <w:proofErr w:type="spellEnd"/>
      <w:r w:rsidR="00E42A2B" w:rsidRPr="00765407">
        <w:rPr>
          <w:rFonts w:ascii="Garamond" w:hAnsi="Garamond"/>
          <w:color w:val="000000" w:themeColor="text1"/>
          <w:shd w:val="clear" w:color="auto" w:fill="FFFFFF"/>
        </w:rPr>
        <w:t xml:space="preserve"> </w:t>
      </w:r>
      <w:proofErr w:type="spellStart"/>
      <w:r w:rsidR="00E42A2B" w:rsidRPr="00765407">
        <w:rPr>
          <w:rFonts w:ascii="Garamond" w:hAnsi="Garamond"/>
          <w:color w:val="000000" w:themeColor="text1"/>
          <w:shd w:val="clear" w:color="auto" w:fill="FFFFFF"/>
        </w:rPr>
        <w:t>againe</w:t>
      </w:r>
      <w:proofErr w:type="spellEnd"/>
      <w:r w:rsidR="00E42A2B" w:rsidRPr="00765407">
        <w:rPr>
          <w:rFonts w:ascii="Garamond" w:hAnsi="Garamond"/>
          <w:color w:val="000000" w:themeColor="text1"/>
          <w:shd w:val="clear" w:color="auto" w:fill="FFFFFF"/>
        </w:rPr>
        <w:t>.”</w:t>
      </w:r>
      <w:r w:rsidR="00E42A2B" w:rsidRPr="00765407">
        <w:rPr>
          <w:rStyle w:val="FootnoteReference"/>
          <w:rFonts w:ascii="Garamond" w:hAnsi="Garamond"/>
          <w:color w:val="000000" w:themeColor="text1"/>
          <w:shd w:val="clear" w:color="auto" w:fill="FFFFFF"/>
        </w:rPr>
        <w:footnoteReference w:id="56"/>
      </w:r>
      <w:r w:rsidR="00E42A2B" w:rsidRPr="00765407">
        <w:rPr>
          <w:rFonts w:ascii="Garamond" w:hAnsi="Garamond"/>
          <w:color w:val="000000" w:themeColor="text1"/>
          <w:shd w:val="clear" w:color="auto" w:fill="FFFFFF"/>
        </w:rPr>
        <w:t xml:space="preserve"> Just as in nature, he argues, so too in politics do we find examples of successful “incorporation,” which he describes as the “[j]</w:t>
      </w:r>
      <w:proofErr w:type="spellStart"/>
      <w:r w:rsidR="00E42A2B" w:rsidRPr="00765407">
        <w:rPr>
          <w:rFonts w:ascii="Garamond" w:hAnsi="Garamond"/>
          <w:color w:val="000000" w:themeColor="text1"/>
          <w:shd w:val="clear" w:color="auto" w:fill="FFFFFF"/>
        </w:rPr>
        <w:t>oyning</w:t>
      </w:r>
      <w:proofErr w:type="spellEnd"/>
      <w:r w:rsidR="00E42A2B" w:rsidRPr="00765407">
        <w:rPr>
          <w:rFonts w:ascii="Garamond" w:hAnsi="Garamond"/>
          <w:color w:val="000000" w:themeColor="text1"/>
          <w:shd w:val="clear" w:color="auto" w:fill="FFFFFF"/>
        </w:rPr>
        <w:t xml:space="preserve"> or putting </w:t>
      </w:r>
      <w:proofErr w:type="spellStart"/>
      <w:r w:rsidR="00E42A2B" w:rsidRPr="00765407">
        <w:rPr>
          <w:rFonts w:ascii="Garamond" w:hAnsi="Garamond"/>
          <w:color w:val="000000" w:themeColor="text1"/>
          <w:shd w:val="clear" w:color="auto" w:fill="FFFFFF"/>
        </w:rPr>
        <w:t>togeather</w:t>
      </w:r>
      <w:proofErr w:type="spellEnd"/>
      <w:r w:rsidR="00E42A2B" w:rsidRPr="00765407">
        <w:rPr>
          <w:rFonts w:ascii="Garamond" w:hAnsi="Garamond"/>
          <w:color w:val="000000" w:themeColor="text1"/>
          <w:shd w:val="clear" w:color="auto" w:fill="FFFFFF"/>
        </w:rPr>
        <w:t xml:space="preserve"> of bodies, </w:t>
      </w:r>
      <w:proofErr w:type="spellStart"/>
      <w:r w:rsidR="00E42A2B" w:rsidRPr="00765407">
        <w:rPr>
          <w:rFonts w:ascii="Garamond" w:hAnsi="Garamond"/>
          <w:color w:val="000000" w:themeColor="text1"/>
          <w:shd w:val="clear" w:color="auto" w:fill="FFFFFF"/>
        </w:rPr>
        <w:t>vnder</w:t>
      </w:r>
      <w:proofErr w:type="spellEnd"/>
      <w:r w:rsidR="00E42A2B" w:rsidRPr="00765407">
        <w:rPr>
          <w:rFonts w:ascii="Garamond" w:hAnsi="Garamond"/>
          <w:color w:val="000000" w:themeColor="text1"/>
          <w:shd w:val="clear" w:color="auto" w:fill="FFFFFF"/>
        </w:rPr>
        <w:t xml:space="preserve"> a new </w:t>
      </w:r>
      <w:proofErr w:type="spellStart"/>
      <w:r w:rsidR="00E42A2B" w:rsidRPr="00765407">
        <w:rPr>
          <w:rFonts w:ascii="Garamond" w:hAnsi="Garamond"/>
          <w:color w:val="000000" w:themeColor="text1"/>
          <w:shd w:val="clear" w:color="auto" w:fill="FFFFFF"/>
        </w:rPr>
        <w:t>Forme</w:t>
      </w:r>
      <w:proofErr w:type="spellEnd"/>
      <w:r w:rsidR="00E42A2B" w:rsidRPr="00765407">
        <w:rPr>
          <w:rFonts w:ascii="Garamond" w:hAnsi="Garamond"/>
          <w:color w:val="000000" w:themeColor="text1"/>
          <w:shd w:val="clear" w:color="auto" w:fill="FFFFFF"/>
        </w:rPr>
        <w:t>,” such that they will not separate again. Pointing to the “</w:t>
      </w:r>
      <w:proofErr w:type="spellStart"/>
      <w:r w:rsidR="00E42A2B" w:rsidRPr="00765407">
        <w:rPr>
          <w:rStyle w:val="rend-italic"/>
          <w:rFonts w:ascii="Garamond" w:hAnsi="Garamond"/>
        </w:rPr>
        <w:t>Romaines</w:t>
      </w:r>
      <w:proofErr w:type="spellEnd"/>
      <w:r w:rsidR="00E42A2B" w:rsidRPr="00765407">
        <w:rPr>
          <w:rFonts w:ascii="Garamond" w:hAnsi="Garamond"/>
        </w:rPr>
        <w:t xml:space="preserve"> and the </w:t>
      </w:r>
      <w:r w:rsidR="00E42A2B" w:rsidRPr="00765407">
        <w:rPr>
          <w:rStyle w:val="rend-italic"/>
          <w:rFonts w:ascii="Garamond" w:hAnsi="Garamond"/>
        </w:rPr>
        <w:t xml:space="preserve">Sabines” as a successful case in which two distinct people </w:t>
      </w:r>
      <w:r w:rsidR="00E42A2B" w:rsidRPr="00765407">
        <w:rPr>
          <w:rFonts w:ascii="Garamond" w:hAnsi="Garamond"/>
          <w:color w:val="000000" w:themeColor="text1"/>
          <w:shd w:val="clear" w:color="auto" w:fill="FFFFFF"/>
        </w:rPr>
        <w:t xml:space="preserve">“mingled </w:t>
      </w:r>
      <w:proofErr w:type="spellStart"/>
      <w:r w:rsidR="00E42A2B" w:rsidRPr="00765407">
        <w:rPr>
          <w:rFonts w:ascii="Garamond" w:hAnsi="Garamond"/>
          <w:color w:val="000000" w:themeColor="text1"/>
          <w:shd w:val="clear" w:color="auto" w:fill="FFFFFF"/>
        </w:rPr>
        <w:t>vppon</w:t>
      </w:r>
      <w:proofErr w:type="spellEnd"/>
      <w:r w:rsidR="00E42A2B" w:rsidRPr="00765407">
        <w:rPr>
          <w:rFonts w:ascii="Garamond" w:hAnsi="Garamond"/>
          <w:color w:val="000000" w:themeColor="text1"/>
          <w:shd w:val="clear" w:color="auto" w:fill="FFFFFF"/>
        </w:rPr>
        <w:t xml:space="preserve"> </w:t>
      </w:r>
      <w:proofErr w:type="spellStart"/>
      <w:r w:rsidR="00E42A2B" w:rsidRPr="00765407">
        <w:rPr>
          <w:rFonts w:ascii="Garamond" w:hAnsi="Garamond"/>
          <w:color w:val="000000" w:themeColor="text1"/>
          <w:shd w:val="clear" w:color="auto" w:fill="FFFFFF"/>
        </w:rPr>
        <w:t>equall</w:t>
      </w:r>
      <w:proofErr w:type="spellEnd"/>
      <w:r w:rsidR="00E42A2B" w:rsidRPr="00765407">
        <w:rPr>
          <w:rFonts w:ascii="Garamond" w:hAnsi="Garamond"/>
          <w:color w:val="000000" w:themeColor="text1"/>
          <w:shd w:val="clear" w:color="auto" w:fill="FFFFFF"/>
        </w:rPr>
        <w:t xml:space="preserve"> </w:t>
      </w:r>
      <w:proofErr w:type="spellStart"/>
      <w:r w:rsidR="00E42A2B" w:rsidRPr="00765407">
        <w:rPr>
          <w:rFonts w:ascii="Garamond" w:hAnsi="Garamond"/>
          <w:color w:val="000000" w:themeColor="text1"/>
          <w:shd w:val="clear" w:color="auto" w:fill="FFFFFF"/>
        </w:rPr>
        <w:t>termes</w:t>
      </w:r>
      <w:proofErr w:type="spellEnd"/>
      <w:r w:rsidR="00E42A2B" w:rsidRPr="00765407">
        <w:rPr>
          <w:rFonts w:ascii="Garamond" w:hAnsi="Garamond"/>
          <w:color w:val="000000" w:themeColor="text1"/>
          <w:shd w:val="clear" w:color="auto" w:fill="FFFFFF"/>
        </w:rPr>
        <w:t xml:space="preserve">” and became one, Bacon reassures the King </w:t>
      </w:r>
      <w:r w:rsidR="00E42A2B" w:rsidRPr="00765407">
        <w:rPr>
          <w:rFonts w:ascii="Garamond" w:hAnsi="Garamond"/>
          <w:color w:val="000000" w:themeColor="text1"/>
          <w:shd w:val="clear" w:color="auto" w:fill="FFFFFF"/>
        </w:rPr>
        <w:t xml:space="preserve">that the </w:t>
      </w:r>
      <w:r w:rsidR="00E42A2B" w:rsidRPr="00765407">
        <w:rPr>
          <w:rFonts w:ascii="Garamond" w:hAnsi="Garamond"/>
          <w:color w:val="000000" w:themeColor="text1"/>
          <w:shd w:val="clear" w:color="auto" w:fill="FFFFFF"/>
        </w:rPr>
        <w:t xml:space="preserve">kingdoms of Scotland and England be incorporated together as one. </w:t>
      </w:r>
    </w:p>
    <w:p w14:paraId="20574470" w14:textId="77777777" w:rsidR="00E42A2B" w:rsidRPr="00765407" w:rsidRDefault="00E42A2B" w:rsidP="00FA5791">
      <w:pPr>
        <w:spacing w:line="360" w:lineRule="auto"/>
        <w:ind w:firstLine="720"/>
        <w:jc w:val="both"/>
        <w:rPr>
          <w:rFonts w:ascii="Garamond" w:hAnsi="Garamond"/>
          <w:color w:val="000000" w:themeColor="text1"/>
          <w:shd w:val="clear" w:color="auto" w:fill="FFFFFF"/>
          <w:lang w:val="en-US"/>
        </w:rPr>
      </w:pPr>
      <w:r w:rsidRPr="00765407">
        <w:rPr>
          <w:rFonts w:ascii="Garamond" w:eastAsiaTheme="minorHAnsi" w:hAnsi="Garamond"/>
          <w:lang w:val="en-GB" w:eastAsia="en-US"/>
        </w:rPr>
        <w:t>There were several ways of achieving incorporation</w:t>
      </w:r>
      <w:r w:rsidRPr="00765407">
        <w:rPr>
          <w:rFonts w:ascii="Garamond" w:eastAsiaTheme="minorHAnsi" w:hAnsi="Garamond"/>
          <w:lang w:val="en-GB" w:eastAsia="en-US"/>
        </w:rPr>
        <w:t xml:space="preserve"> of the two kingdoms and one method that </w:t>
      </w:r>
      <w:r w:rsidRPr="00765407">
        <w:rPr>
          <w:rFonts w:ascii="Garamond" w:eastAsiaTheme="minorHAnsi" w:hAnsi="Garamond"/>
          <w:lang w:val="en-GB" w:eastAsia="en-US"/>
        </w:rPr>
        <w:t xml:space="preserve">neatly illustrates the symbolic and juridical significance of the king’s natural body was the naturalization of subjects. </w:t>
      </w:r>
      <w:r w:rsidRPr="00765407">
        <w:rPr>
          <w:rFonts w:ascii="Garamond" w:eastAsiaTheme="minorHAnsi" w:hAnsi="Garamond"/>
          <w:lang w:val="en-GB" w:eastAsia="en-US"/>
        </w:rPr>
        <w:t>In</w:t>
      </w:r>
      <w:r w:rsidRPr="00765407">
        <w:rPr>
          <w:rFonts w:ascii="Garamond" w:eastAsiaTheme="minorHAnsi" w:hAnsi="Garamond"/>
          <w:lang w:val="en-GB" w:eastAsia="en-US"/>
        </w:rPr>
        <w:t xml:space="preserve"> Calvin’s Case (1608), English judges debated whether a child born in Scotland after the union of crowns ought to be considered under common law an English subject. In his role as the king’s solicitor-general</w:t>
      </w:r>
      <w:r w:rsidRPr="00765407">
        <w:rPr>
          <w:rFonts w:ascii="Garamond" w:hAnsi="Garamond"/>
        </w:rPr>
        <w:t>, Bacon stated that the case of the Post-</w:t>
      </w:r>
      <w:proofErr w:type="spellStart"/>
      <w:r w:rsidRPr="00765407">
        <w:rPr>
          <w:rFonts w:ascii="Garamond" w:hAnsi="Garamond"/>
        </w:rPr>
        <w:t>Nati</w:t>
      </w:r>
      <w:proofErr w:type="spellEnd"/>
      <w:r w:rsidRPr="00765407">
        <w:rPr>
          <w:rFonts w:ascii="Garamond" w:hAnsi="Garamond"/>
        </w:rPr>
        <w:t xml:space="preserve"> of Scotland “is simple and plain: that is </w:t>
      </w:r>
      <w:proofErr w:type="spellStart"/>
      <w:r w:rsidRPr="00765407">
        <w:rPr>
          <w:rFonts w:ascii="Garamond" w:hAnsi="Garamond"/>
        </w:rPr>
        <w:t>sufficeth</w:t>
      </w:r>
      <w:proofErr w:type="spellEnd"/>
      <w:r w:rsidRPr="00765407">
        <w:rPr>
          <w:rFonts w:ascii="Garamond" w:hAnsi="Garamond"/>
        </w:rPr>
        <w:t xml:space="preserve"> to naturalization, </w:t>
      </w:r>
      <w:r w:rsidRPr="00765407">
        <w:rPr>
          <w:rFonts w:ascii="Garamond" w:hAnsi="Garamond"/>
          <w:color w:val="000000" w:themeColor="text1"/>
          <w:lang w:val="en-US"/>
        </w:rPr>
        <w:t>that there be one king</w:t>
      </w:r>
      <w:r w:rsidRPr="00765407">
        <w:rPr>
          <w:rFonts w:ascii="Garamond" w:hAnsi="Garamond"/>
        </w:rPr>
        <w:t xml:space="preserve">.” According to Bacon, </w:t>
      </w:r>
      <w:r w:rsidRPr="00765407">
        <w:rPr>
          <w:rFonts w:ascii="Garamond" w:hAnsi="Garamond"/>
          <w:color w:val="000000" w:themeColor="text1"/>
          <w:lang w:val="en-US"/>
        </w:rPr>
        <w:t xml:space="preserve">a subject’s allegiance was not owed to any law or land but rather “to the person of the king.” Given that </w:t>
      </w:r>
      <w:r w:rsidRPr="00765407">
        <w:rPr>
          <w:rFonts w:ascii="Garamond" w:hAnsi="Garamond"/>
        </w:rPr>
        <w:t xml:space="preserve">sovereignty was </w:t>
      </w:r>
      <w:r w:rsidRPr="00765407">
        <w:rPr>
          <w:rFonts w:ascii="Garamond" w:hAnsi="Garamond"/>
          <w:color w:val="000000" w:themeColor="text1"/>
          <w:lang w:val="en-US"/>
        </w:rPr>
        <w:t>vested in one king, an “Alien” can only be one who “is born out of the allegiance of our lord the king.”</w:t>
      </w:r>
      <w:r w:rsidRPr="00765407">
        <w:rPr>
          <w:rStyle w:val="FootnoteReference"/>
          <w:rFonts w:ascii="Garamond" w:hAnsi="Garamond"/>
        </w:rPr>
        <w:footnoteReference w:id="57"/>
      </w:r>
      <w:r w:rsidRPr="00765407">
        <w:rPr>
          <w:rFonts w:ascii="Garamond" w:hAnsi="Garamond"/>
        </w:rPr>
        <w:t xml:space="preserve"> </w:t>
      </w:r>
      <w:r w:rsidRPr="00765407">
        <w:rPr>
          <w:rFonts w:ascii="Garamond" w:hAnsi="Garamond"/>
          <w:color w:val="000000" w:themeColor="text1"/>
          <w:lang w:val="en-US"/>
        </w:rPr>
        <w:t xml:space="preserve">Yet, as critics of the union alleged, the king governed two political </w:t>
      </w:r>
      <w:r w:rsidRPr="00765407">
        <w:rPr>
          <w:rFonts w:ascii="Garamond" w:hAnsi="Garamond"/>
          <w:color w:val="000000" w:themeColor="text1"/>
          <w:lang w:val="en-US"/>
        </w:rPr>
        <w:lastRenderedPageBreak/>
        <w:t xml:space="preserve">bodies and so allegiance was necessarily split between the two kingdoms. In response, Bacon acknowledged that “his body politic of King of England and his body politic King of Scotland, be several and distinct,” but he argued that the king’s “natural person, which is one, hath an operation upon both, </w:t>
      </w:r>
      <w:r w:rsidRPr="00765407">
        <w:rPr>
          <w:rFonts w:ascii="Garamond" w:hAnsi="Garamond"/>
        </w:rPr>
        <w:t xml:space="preserve">and </w:t>
      </w:r>
      <w:proofErr w:type="spellStart"/>
      <w:r w:rsidRPr="00765407">
        <w:rPr>
          <w:rFonts w:ascii="Garamond" w:hAnsi="Garamond"/>
        </w:rPr>
        <w:t>createth</w:t>
      </w:r>
      <w:proofErr w:type="spellEnd"/>
      <w:r w:rsidRPr="00765407">
        <w:rPr>
          <w:rFonts w:ascii="Garamond" w:hAnsi="Garamond"/>
        </w:rPr>
        <w:t xml:space="preserve"> a privity between them.”</w:t>
      </w:r>
      <w:r w:rsidRPr="00765407">
        <w:rPr>
          <w:rStyle w:val="FootnoteReference"/>
          <w:rFonts w:ascii="Garamond" w:hAnsi="Garamond"/>
        </w:rPr>
        <w:footnoteReference w:id="58"/>
      </w:r>
      <w:r w:rsidRPr="00765407">
        <w:rPr>
          <w:rFonts w:ascii="Garamond" w:hAnsi="Garamond"/>
        </w:rPr>
        <w:t xml:space="preserve"> According to Bacon, it was not only that the body politic has effects on the body natural, but so too </w:t>
      </w:r>
      <w:r w:rsidRPr="00765407">
        <w:rPr>
          <w:rFonts w:ascii="Garamond" w:hAnsi="Garamond"/>
          <w:color w:val="000000" w:themeColor="text1"/>
          <w:lang w:val="en-US"/>
        </w:rPr>
        <w:t>does the “the natural body of the king hath an operation and influence on his body politic.”</w:t>
      </w:r>
      <w:r w:rsidRPr="00765407">
        <w:rPr>
          <w:rStyle w:val="FootnoteReference"/>
          <w:rFonts w:ascii="Garamond" w:hAnsi="Garamond"/>
          <w:color w:val="000000" w:themeColor="text1"/>
          <w:lang w:val="en-US"/>
        </w:rPr>
        <w:footnoteReference w:id="59"/>
      </w:r>
      <w:r w:rsidRPr="00765407">
        <w:rPr>
          <w:rFonts w:ascii="Garamond" w:hAnsi="Garamond"/>
          <w:color w:val="000000" w:themeColor="text1"/>
          <w:lang w:val="en-US"/>
        </w:rPr>
        <w:t xml:space="preserve"> The </w:t>
      </w:r>
      <w:r w:rsidRPr="00765407">
        <w:rPr>
          <w:rFonts w:ascii="Garamond" w:hAnsi="Garamond"/>
        </w:rPr>
        <w:t>unity of the king’s natural body thus made possible and constituted a unity of the two kingdoms into one body politic to which subjects owed allegiance.</w:t>
      </w:r>
      <w:r w:rsidRPr="00765407">
        <w:rPr>
          <w:rStyle w:val="FootnoteReference"/>
          <w:rFonts w:ascii="Garamond" w:hAnsi="Garamond"/>
          <w:color w:val="000000" w:themeColor="text1"/>
          <w:lang w:val="en-US"/>
        </w:rPr>
        <w:footnoteReference w:id="60"/>
      </w:r>
    </w:p>
    <w:p w14:paraId="1585C016" w14:textId="77777777" w:rsidR="00E42A2B" w:rsidRPr="00765407" w:rsidRDefault="00E42A2B" w:rsidP="00FA5791">
      <w:pPr>
        <w:spacing w:line="360" w:lineRule="auto"/>
        <w:ind w:firstLine="720"/>
        <w:jc w:val="both"/>
        <w:rPr>
          <w:rFonts w:ascii="Garamond" w:hAnsi="Garamond"/>
          <w:color w:val="000000" w:themeColor="text1"/>
          <w:shd w:val="clear" w:color="auto" w:fill="FFFFFF"/>
        </w:rPr>
      </w:pPr>
      <w:r w:rsidRPr="00765407">
        <w:rPr>
          <w:rFonts w:ascii="Garamond" w:hAnsi="Garamond"/>
          <w:lang w:val="en-US"/>
        </w:rPr>
        <w:t>To make sense of the controversies surrounding the union, j</w:t>
      </w:r>
      <w:proofErr w:type="spellStart"/>
      <w:r w:rsidRPr="00765407">
        <w:rPr>
          <w:rFonts w:ascii="Garamond" w:hAnsi="Garamond"/>
        </w:rPr>
        <w:t>urists</w:t>
      </w:r>
      <w:proofErr w:type="spellEnd"/>
      <w:r w:rsidRPr="00765407">
        <w:rPr>
          <w:rFonts w:ascii="Garamond" w:hAnsi="Garamond"/>
        </w:rPr>
        <w:t xml:space="preserve"> turned to the king’s natural body and highlighted its political significance. Critiquing those who “do in effect destroy the whole force of the king’s natural capacity, as if it were drowned and swallowed up by his body politic,”</w:t>
      </w:r>
      <w:r w:rsidRPr="00765407">
        <w:rPr>
          <w:rStyle w:val="FootnoteReference"/>
          <w:rFonts w:ascii="Garamond" w:hAnsi="Garamond"/>
        </w:rPr>
        <w:footnoteReference w:id="61"/>
      </w:r>
      <w:r w:rsidRPr="00765407">
        <w:rPr>
          <w:rFonts w:ascii="Garamond" w:hAnsi="Garamond"/>
        </w:rPr>
        <w:t xml:space="preserve"> Bacon argued that theorists of the king’s two bodies must not lose sight of the natural body and its constitutive role in political affairs. According to Bacon, we can understand neither the body politic nor the body natural except in and through the other. “</w:t>
      </w:r>
      <w:r w:rsidRPr="00765407">
        <w:rPr>
          <w:rFonts w:ascii="Garamond" w:hAnsi="Garamond" w:cs="Arial"/>
          <w:color w:val="000000"/>
          <w:shd w:val="clear" w:color="auto" w:fill="FFFFFF"/>
        </w:rPr>
        <w:t xml:space="preserve">There is in the king not a Body natural alone, nor a Body politic alone, but a body natural and politic together: </w:t>
      </w:r>
      <w:r w:rsidRPr="00765407">
        <w:rPr>
          <w:rFonts w:ascii="Garamond" w:hAnsi="Garamond" w:cs="Arial"/>
          <w:i/>
          <w:iCs/>
          <w:color w:val="000000"/>
          <w:shd w:val="clear" w:color="auto" w:fill="FFFFFF"/>
        </w:rPr>
        <w:t xml:space="preserve">corpus </w:t>
      </w:r>
      <w:proofErr w:type="spellStart"/>
      <w:r w:rsidRPr="00765407">
        <w:rPr>
          <w:rFonts w:ascii="Garamond" w:hAnsi="Garamond" w:cs="Arial"/>
          <w:i/>
          <w:iCs/>
          <w:color w:val="000000"/>
          <w:shd w:val="clear" w:color="auto" w:fill="FFFFFF"/>
        </w:rPr>
        <w:t>corporatum</w:t>
      </w:r>
      <w:proofErr w:type="spellEnd"/>
      <w:r w:rsidRPr="00765407">
        <w:rPr>
          <w:rFonts w:ascii="Garamond" w:hAnsi="Garamond" w:cs="Arial"/>
          <w:i/>
          <w:iCs/>
          <w:color w:val="000000"/>
          <w:shd w:val="clear" w:color="auto" w:fill="FFFFFF"/>
        </w:rPr>
        <w:t xml:space="preserve"> in corpore </w:t>
      </w:r>
      <w:proofErr w:type="spellStart"/>
      <w:r w:rsidRPr="00765407">
        <w:rPr>
          <w:rFonts w:ascii="Garamond" w:hAnsi="Garamond" w:cs="Arial"/>
          <w:i/>
          <w:iCs/>
          <w:color w:val="000000"/>
          <w:shd w:val="clear" w:color="auto" w:fill="FFFFFF"/>
        </w:rPr>
        <w:t>naturali</w:t>
      </w:r>
      <w:proofErr w:type="spellEnd"/>
      <w:r w:rsidRPr="00765407">
        <w:rPr>
          <w:rFonts w:ascii="Garamond" w:hAnsi="Garamond" w:cs="Arial"/>
          <w:i/>
          <w:iCs/>
          <w:color w:val="000000"/>
          <w:shd w:val="clear" w:color="auto" w:fill="FFFFFF"/>
        </w:rPr>
        <w:t xml:space="preserve">, et corpus </w:t>
      </w:r>
      <w:proofErr w:type="spellStart"/>
      <w:r w:rsidRPr="00765407">
        <w:rPr>
          <w:rFonts w:ascii="Garamond" w:hAnsi="Garamond" w:cs="Arial"/>
          <w:i/>
          <w:iCs/>
          <w:color w:val="000000"/>
          <w:shd w:val="clear" w:color="auto" w:fill="FFFFFF"/>
        </w:rPr>
        <w:t>naturale</w:t>
      </w:r>
      <w:proofErr w:type="spellEnd"/>
      <w:r w:rsidRPr="00765407">
        <w:rPr>
          <w:rFonts w:ascii="Garamond" w:hAnsi="Garamond" w:cs="Arial"/>
          <w:i/>
          <w:iCs/>
          <w:color w:val="000000"/>
          <w:shd w:val="clear" w:color="auto" w:fill="FFFFFF"/>
        </w:rPr>
        <w:t xml:space="preserve"> in corpore </w:t>
      </w:r>
      <w:proofErr w:type="spellStart"/>
      <w:r w:rsidRPr="00765407">
        <w:rPr>
          <w:rFonts w:ascii="Garamond" w:hAnsi="Garamond" w:cs="Arial"/>
          <w:i/>
          <w:iCs/>
          <w:color w:val="000000"/>
          <w:shd w:val="clear" w:color="auto" w:fill="FFFFFF"/>
        </w:rPr>
        <w:t>corporato</w:t>
      </w:r>
      <w:proofErr w:type="spellEnd"/>
      <w:r w:rsidRPr="00765407">
        <w:rPr>
          <w:rFonts w:ascii="Garamond" w:hAnsi="Garamond" w:cs="Arial"/>
          <w:color w:val="000000"/>
          <w:shd w:val="clear" w:color="auto" w:fill="FFFFFF"/>
        </w:rPr>
        <w:t>.”</w:t>
      </w:r>
      <w:r w:rsidRPr="00765407">
        <w:rPr>
          <w:rStyle w:val="FootnoteReference"/>
          <w:rFonts w:ascii="Garamond" w:hAnsi="Garamond" w:cs="Arial"/>
          <w:color w:val="000000"/>
          <w:shd w:val="clear" w:color="auto" w:fill="FFFFFF"/>
        </w:rPr>
        <w:footnoteReference w:id="62"/>
      </w:r>
      <w:r w:rsidRPr="00765407">
        <w:rPr>
          <w:rFonts w:ascii="Garamond" w:hAnsi="Garamond" w:cs="Arial"/>
          <w:color w:val="000000"/>
          <w:shd w:val="clear" w:color="auto" w:fill="FFFFFF"/>
        </w:rPr>
        <w:t xml:space="preserve"> Incorporation discloses how the corporate body of the crown is in the king’s natural body just as the king’s corporeal body is in the corporate. </w:t>
      </w:r>
      <w:r w:rsidRPr="00765407">
        <w:rPr>
          <w:rFonts w:ascii="Garamond" w:hAnsi="Garamond"/>
          <w:lang w:val="en-US"/>
        </w:rPr>
        <w:t xml:space="preserve">As Henry Turner’s argues in his study of the corporate state in early modern England, </w:t>
      </w:r>
      <w:r w:rsidRPr="00765407">
        <w:rPr>
          <w:rFonts w:ascii="Garamond" w:hAnsi="Garamond" w:cs="Arial"/>
          <w:color w:val="000000"/>
          <w:shd w:val="clear" w:color="auto" w:fill="FFFFFF"/>
        </w:rPr>
        <w:t>the material body is not “a</w:t>
      </w:r>
      <w:r w:rsidRPr="00765407">
        <w:rPr>
          <w:rFonts w:ascii="Garamond" w:hAnsi="Garamond"/>
          <w:color w:val="000000"/>
        </w:rPr>
        <w:t xml:space="preserve"> substitute figure that stands for the corporation in the way of a delegate or a representative but rather that it supports the corporation in a structural fashion, like a frame or a beam – it has been integrated </w:t>
      </w:r>
      <w:r w:rsidRPr="00765407">
        <w:rPr>
          <w:rFonts w:ascii="Garamond" w:hAnsi="Garamond"/>
          <w:i/>
          <w:iCs/>
          <w:color w:val="000000"/>
        </w:rPr>
        <w:t>materially and functionally.</w:t>
      </w:r>
      <w:r w:rsidRPr="00765407">
        <w:rPr>
          <w:rFonts w:ascii="Garamond" w:hAnsi="Garamond"/>
          <w:color w:val="000000"/>
        </w:rPr>
        <w:t>”</w:t>
      </w:r>
      <w:r w:rsidRPr="00765407">
        <w:rPr>
          <w:rStyle w:val="FootnoteReference"/>
          <w:rFonts w:ascii="Garamond" w:hAnsi="Garamond"/>
          <w:color w:val="000000"/>
        </w:rPr>
        <w:footnoteReference w:id="63"/>
      </w:r>
      <w:r w:rsidRPr="00765407">
        <w:rPr>
          <w:rFonts w:ascii="Garamond" w:hAnsi="Garamond"/>
          <w:color w:val="000000"/>
        </w:rPr>
        <w:t xml:space="preserve"> </w:t>
      </w:r>
      <w:r w:rsidRPr="00765407">
        <w:rPr>
          <w:rFonts w:ascii="Garamond" w:hAnsi="Garamond" w:cs="Arial"/>
          <w:color w:val="000000"/>
          <w:shd w:val="clear" w:color="auto" w:fill="FFFFFF"/>
        </w:rPr>
        <w:t>The grammar of incorporation entails that we cannot speak about the body politic and the political authority with which the king ruled without also attending to the materiality of his natural body. Rooted within a Christian political theology, the grammar of incorporation more accurately articulates the natural body making flesh and incarnating the invisible body politic.</w:t>
      </w:r>
      <w:r w:rsidRPr="00765407">
        <w:rPr>
          <w:rStyle w:val="FootnoteReference"/>
          <w:rFonts w:ascii="Garamond" w:hAnsi="Garamond" w:cs="Arial"/>
          <w:color w:val="000000"/>
          <w:shd w:val="clear" w:color="auto" w:fill="FFFFFF"/>
        </w:rPr>
        <w:footnoteReference w:id="64"/>
      </w:r>
      <w:r w:rsidRPr="00765407">
        <w:rPr>
          <w:rFonts w:ascii="Garamond" w:hAnsi="Garamond" w:cs="Arial"/>
          <w:color w:val="000000"/>
          <w:shd w:val="clear" w:color="auto" w:fill="FFFFFF"/>
        </w:rPr>
        <w:t xml:space="preserve"> As Richard II is often attributed with saying, the “laws are in the King’s mouth, or sometimes in his breast.”</w:t>
      </w:r>
      <w:r w:rsidRPr="00765407">
        <w:rPr>
          <w:rStyle w:val="FootnoteReference"/>
          <w:rFonts w:ascii="Garamond" w:hAnsi="Garamond" w:cs="Arial"/>
          <w:color w:val="000000"/>
          <w:shd w:val="clear" w:color="auto" w:fill="FFFFFF"/>
        </w:rPr>
        <w:footnoteReference w:id="65"/>
      </w:r>
    </w:p>
    <w:p w14:paraId="35DF3371" w14:textId="62959A93" w:rsidR="006F1E04" w:rsidRPr="00765407" w:rsidRDefault="00E42A2B" w:rsidP="00FA5791">
      <w:pPr>
        <w:spacing w:line="360" w:lineRule="auto"/>
        <w:ind w:firstLine="720"/>
        <w:jc w:val="both"/>
        <w:rPr>
          <w:rFonts w:ascii="Garamond" w:hAnsi="Garamond"/>
          <w:lang w:val="en-US"/>
        </w:rPr>
      </w:pPr>
      <w:r w:rsidRPr="00765407">
        <w:rPr>
          <w:rFonts w:ascii="Garamond" w:hAnsi="Garamond"/>
          <w:color w:val="000000" w:themeColor="text1"/>
          <w:shd w:val="clear" w:color="auto" w:fill="FFFFFF"/>
        </w:rPr>
        <w:lastRenderedPageBreak/>
        <w:t xml:space="preserve">According to theorists of incorporation, </w:t>
      </w:r>
      <w:r w:rsidRPr="00765407">
        <w:rPr>
          <w:rFonts w:ascii="Garamond" w:hAnsi="Garamond" w:cs="Arial"/>
          <w:color w:val="000000"/>
          <w:shd w:val="clear" w:color="auto" w:fill="FFFFFF"/>
        </w:rPr>
        <w:t>the body politic may have been invisible but it was neither absent nor separate from (as in parliamentary representation) the natural body of the king.</w:t>
      </w:r>
      <w:r w:rsidRPr="00765407">
        <w:rPr>
          <w:rFonts w:ascii="Garamond" w:hAnsi="Garamond"/>
          <w:lang w:val="en-US"/>
        </w:rPr>
        <w:t xml:space="preserve"> Unlike incorporation, representation puts forward an already existing disjuncture between the two bodies</w:t>
      </w:r>
      <w:r w:rsidRPr="00765407">
        <w:rPr>
          <w:rFonts w:ascii="Garamond" w:hAnsi="Garamond"/>
          <w:lang w:val="en-US"/>
        </w:rPr>
        <w:t xml:space="preserve">. </w:t>
      </w:r>
      <w:r w:rsidRPr="00765407">
        <w:rPr>
          <w:rFonts w:ascii="Garamond" w:hAnsi="Garamond"/>
          <w:lang w:val="en-US"/>
        </w:rPr>
        <w:t xml:space="preserve">Absent a logic of representation, the </w:t>
      </w:r>
      <w:r w:rsidR="006D6E04" w:rsidRPr="00765407">
        <w:rPr>
          <w:rFonts w:ascii="Garamond" w:hAnsi="Garamond"/>
          <w:lang w:val="en-US"/>
        </w:rPr>
        <w:t xml:space="preserve">downfall of the monarchy becomes a more </w:t>
      </w:r>
      <w:r w:rsidR="005801C5">
        <w:rPr>
          <w:rFonts w:ascii="Garamond" w:hAnsi="Garamond"/>
          <w:lang w:val="en-US"/>
        </w:rPr>
        <w:t xml:space="preserve">fraught </w:t>
      </w:r>
      <w:r w:rsidR="006D6E04" w:rsidRPr="00765407">
        <w:rPr>
          <w:rFonts w:ascii="Garamond" w:hAnsi="Garamond"/>
          <w:lang w:val="en-US"/>
        </w:rPr>
        <w:t>story</w:t>
      </w:r>
      <w:r w:rsidR="005801C5">
        <w:rPr>
          <w:rFonts w:ascii="Garamond" w:hAnsi="Garamond"/>
          <w:lang w:val="en-US"/>
        </w:rPr>
        <w:t xml:space="preserve"> and </w:t>
      </w:r>
      <w:r w:rsidR="006D6E04" w:rsidRPr="00765407">
        <w:rPr>
          <w:rFonts w:ascii="Garamond" w:hAnsi="Garamond"/>
          <w:lang w:val="en-US"/>
        </w:rPr>
        <w:t xml:space="preserve">the body itself a </w:t>
      </w:r>
      <w:r w:rsidRPr="00765407">
        <w:rPr>
          <w:rFonts w:ascii="Garamond" w:hAnsi="Garamond"/>
          <w:lang w:val="en-US"/>
        </w:rPr>
        <w:t xml:space="preserve">more fraught site of political contention. If, as Bacon puts it, the body politic does not swallow up and </w:t>
      </w:r>
      <w:proofErr w:type="spellStart"/>
      <w:r w:rsidRPr="00765407">
        <w:rPr>
          <w:rFonts w:ascii="Garamond" w:hAnsi="Garamond"/>
          <w:lang w:val="en-US"/>
        </w:rPr>
        <w:t>drown</w:t>
      </w:r>
      <w:proofErr w:type="spellEnd"/>
      <w:r w:rsidRPr="00765407">
        <w:rPr>
          <w:rFonts w:ascii="Garamond" w:hAnsi="Garamond"/>
          <w:lang w:val="en-US"/>
        </w:rPr>
        <w:t xml:space="preserve"> the material body in its symbolic operations, then there is more at stake in the materiality of the natural body than previously considered for the ongoing production and reproduction of </w:t>
      </w:r>
      <w:r w:rsidR="006D6E04" w:rsidRPr="00765407">
        <w:rPr>
          <w:rFonts w:ascii="Garamond" w:hAnsi="Garamond"/>
          <w:lang w:val="en-US"/>
        </w:rPr>
        <w:t>political power.</w:t>
      </w:r>
      <w:r w:rsidRPr="00765407">
        <w:rPr>
          <w:rFonts w:ascii="Garamond" w:hAnsi="Garamond"/>
          <w:lang w:val="en-US"/>
        </w:rPr>
        <w:t xml:space="preserve"> Far from simply a matter of semantics, this conceptual language has far-reaching implications for how we make sense of the structure of monarchical authority, since the political grammars we employ (representation vs incorporation) change the kinds of propositional statements we can make about the king’s two bodies</w:t>
      </w:r>
      <w:r w:rsidR="006D6E04" w:rsidRPr="00765407">
        <w:rPr>
          <w:rFonts w:ascii="Garamond" w:hAnsi="Garamond"/>
          <w:lang w:val="en-US"/>
        </w:rPr>
        <w:t xml:space="preserve"> and the subsequent transition to a political order in which The People came to rule</w:t>
      </w:r>
      <w:r w:rsidRPr="00765407">
        <w:rPr>
          <w:rFonts w:ascii="Garamond" w:hAnsi="Garamond"/>
          <w:lang w:val="en-US"/>
        </w:rPr>
        <w:t xml:space="preserve">. </w:t>
      </w:r>
    </w:p>
    <w:p w14:paraId="2945EF44" w14:textId="7740AFCD" w:rsidR="0090120A" w:rsidRPr="00765407" w:rsidRDefault="00DA6267" w:rsidP="00FA5791">
      <w:pPr>
        <w:pStyle w:val="ListParagraph"/>
        <w:numPr>
          <w:ilvl w:val="0"/>
          <w:numId w:val="8"/>
        </w:numPr>
        <w:spacing w:line="360" w:lineRule="auto"/>
        <w:jc w:val="both"/>
        <w:rPr>
          <w:rFonts w:ascii="Garamond" w:hAnsi="Garamond"/>
          <w:b/>
        </w:rPr>
      </w:pPr>
      <w:r w:rsidRPr="00765407">
        <w:rPr>
          <w:rFonts w:ascii="Garamond" w:hAnsi="Garamond"/>
          <w:b/>
        </w:rPr>
        <w:t>The Democratic Revolution Revisited</w:t>
      </w:r>
      <w:r w:rsidR="0090120A" w:rsidRPr="00765407">
        <w:rPr>
          <w:rFonts w:ascii="Garamond" w:hAnsi="Garamond"/>
          <w:b/>
        </w:rPr>
        <w:t xml:space="preserve"> </w:t>
      </w:r>
    </w:p>
    <w:p w14:paraId="1CECA5C9" w14:textId="42EC8716" w:rsidR="00B73AA0" w:rsidRPr="00765407" w:rsidRDefault="0090120A" w:rsidP="00F47358">
      <w:pPr>
        <w:spacing w:line="360" w:lineRule="auto"/>
        <w:ind w:firstLine="720"/>
        <w:jc w:val="both"/>
        <w:rPr>
          <w:rFonts w:ascii="Garamond" w:hAnsi="Garamond"/>
        </w:rPr>
      </w:pPr>
      <w:r w:rsidRPr="00765407">
        <w:rPr>
          <w:rFonts w:ascii="Garamond" w:hAnsi="Garamond"/>
        </w:rPr>
        <w:t>Rather than posit a split between the king’s two bodies, the grammar of incorporation effects a radical challenge for thinking their unity and understanding how one singular body could incarnate sovereign power. If, as democratic theorists contend, democracy entails a rupture of the king’s two bodies, then how do we understand the process in and through which subjects become newly invested in democratic principles of self-rule and equality? How, in other words, do we understand the emergence of and attachment to new democratic ideas without losing sight of the materiality of the body?</w:t>
      </w:r>
      <w:r w:rsidR="00B73AA0" w:rsidRPr="00765407">
        <w:rPr>
          <w:rFonts w:ascii="Garamond" w:hAnsi="Garamond"/>
        </w:rPr>
        <w:t xml:space="preserve"> </w:t>
      </w:r>
      <w:r w:rsidR="00F47358" w:rsidRPr="00765407">
        <w:rPr>
          <w:rFonts w:ascii="Garamond" w:hAnsi="Garamond"/>
        </w:rPr>
        <w:t>T</w:t>
      </w:r>
      <w:r w:rsidR="00F47358" w:rsidRPr="00765407">
        <w:rPr>
          <w:rFonts w:ascii="Garamond" w:hAnsi="Garamond" w:cs="Times New Roman"/>
          <w:lang w:val="en-GB"/>
        </w:rPr>
        <w:t xml:space="preserve">he aim of this paper has been diagnostic and deconstructive in approach, to show how a certain historiography of democracy has entailed a certain prioritization of discourse over and above the body when it comes to political theorizing. </w:t>
      </w:r>
      <w:r w:rsidR="00B73AA0" w:rsidRPr="00765407">
        <w:rPr>
          <w:rFonts w:ascii="Garamond" w:hAnsi="Garamond"/>
        </w:rPr>
        <w:t xml:space="preserve">Answering these questions would </w:t>
      </w:r>
      <w:r w:rsidR="00F47358" w:rsidRPr="00765407">
        <w:rPr>
          <w:rFonts w:ascii="Garamond" w:hAnsi="Garamond"/>
        </w:rPr>
        <w:t>require much more space and would involve a much larger program of study</w:t>
      </w:r>
      <w:r w:rsidR="00CD4B13" w:rsidRPr="00765407">
        <w:rPr>
          <w:rFonts w:ascii="Garamond" w:hAnsi="Garamond"/>
        </w:rPr>
        <w:t xml:space="preserve"> focused on demo</w:t>
      </w:r>
      <w:r w:rsidR="00F47358" w:rsidRPr="00765407">
        <w:rPr>
          <w:rFonts w:ascii="Garamond" w:hAnsi="Garamond"/>
        </w:rPr>
        <w:t>cratic body politics. In the remainder of this paper,</w:t>
      </w:r>
      <w:r w:rsidR="00CD4B13" w:rsidRPr="00765407">
        <w:rPr>
          <w:rFonts w:ascii="Garamond" w:hAnsi="Garamond"/>
        </w:rPr>
        <w:t xml:space="preserve"> then,</w:t>
      </w:r>
      <w:r w:rsidR="00F47358" w:rsidRPr="00765407">
        <w:rPr>
          <w:rFonts w:ascii="Garamond" w:hAnsi="Garamond"/>
        </w:rPr>
        <w:t xml:space="preserve"> I</w:t>
      </w:r>
      <w:r w:rsidR="005801C5">
        <w:rPr>
          <w:rFonts w:ascii="Garamond" w:hAnsi="Garamond"/>
        </w:rPr>
        <w:t xml:space="preserve"> will briefly</w:t>
      </w:r>
      <w:r w:rsidR="00F47358" w:rsidRPr="00765407">
        <w:rPr>
          <w:rFonts w:ascii="Garamond" w:hAnsi="Garamond"/>
        </w:rPr>
        <w:t xml:space="preserve"> highlight one possible resource for this study. </w:t>
      </w:r>
    </w:p>
    <w:p w14:paraId="43E323A4" w14:textId="68D75AC6" w:rsidR="00DA6267" w:rsidRPr="00765407" w:rsidRDefault="00A67EA7" w:rsidP="005801C5">
      <w:pPr>
        <w:spacing w:line="360" w:lineRule="auto"/>
        <w:ind w:firstLine="720"/>
        <w:jc w:val="both"/>
        <w:rPr>
          <w:rFonts w:ascii="Garamond" w:hAnsi="Garamond"/>
        </w:rPr>
      </w:pPr>
      <w:r w:rsidRPr="00765407">
        <w:rPr>
          <w:rFonts w:ascii="Garamond" w:hAnsi="Garamond"/>
        </w:rPr>
        <w:t xml:space="preserve">On </w:t>
      </w:r>
      <w:proofErr w:type="spellStart"/>
      <w:r w:rsidRPr="00765407">
        <w:rPr>
          <w:rFonts w:ascii="Garamond" w:hAnsi="Garamond"/>
        </w:rPr>
        <w:t>Feburary</w:t>
      </w:r>
      <w:proofErr w:type="spellEnd"/>
      <w:r w:rsidRPr="00765407">
        <w:rPr>
          <w:rFonts w:ascii="Garamond" w:hAnsi="Garamond"/>
        </w:rPr>
        <w:t xml:space="preserve"> 3, 1794, about a year after the beheading of the French king and following years of insurrection against colonial rule, two delegates</w:t>
      </w:r>
      <w:r w:rsidR="005801C5">
        <w:rPr>
          <w:rFonts w:ascii="Garamond" w:hAnsi="Garamond"/>
        </w:rPr>
        <w:t xml:space="preserve"> from</w:t>
      </w:r>
      <w:r w:rsidR="005801C5" w:rsidRPr="00765407">
        <w:rPr>
          <w:rFonts w:ascii="Garamond" w:hAnsi="Garamond"/>
        </w:rPr>
        <w:t xml:space="preserve"> Saint-Domingue</w:t>
      </w:r>
      <w:r w:rsidRPr="00765407">
        <w:rPr>
          <w:rFonts w:ascii="Garamond" w:hAnsi="Garamond"/>
        </w:rPr>
        <w:t xml:space="preserve">, </w:t>
      </w:r>
      <w:r w:rsidR="00F877B0" w:rsidRPr="00765407">
        <w:rPr>
          <w:rFonts w:ascii="Garamond" w:hAnsi="Garamond"/>
        </w:rPr>
        <w:t>Bellay</w:t>
      </w:r>
      <w:r w:rsidR="00F877B0" w:rsidRPr="00765407">
        <w:rPr>
          <w:rFonts w:ascii="Garamond" w:hAnsi="Garamond"/>
        </w:rPr>
        <w:t xml:space="preserve"> (</w:t>
      </w:r>
      <w:r w:rsidR="00F877B0" w:rsidRPr="00765407">
        <w:rPr>
          <w:rFonts w:ascii="Garamond" w:hAnsi="Garamond"/>
        </w:rPr>
        <w:t>a former slave</w:t>
      </w:r>
      <w:r w:rsidR="00F877B0" w:rsidRPr="00765407">
        <w:rPr>
          <w:rFonts w:ascii="Garamond" w:hAnsi="Garamond"/>
        </w:rPr>
        <w:t xml:space="preserve">) and </w:t>
      </w:r>
      <w:r w:rsidR="00F877B0" w:rsidRPr="00765407">
        <w:rPr>
          <w:rFonts w:ascii="Garamond" w:hAnsi="Garamond"/>
        </w:rPr>
        <w:t>Mills</w:t>
      </w:r>
      <w:r w:rsidR="00F877B0" w:rsidRPr="00765407">
        <w:rPr>
          <w:rFonts w:ascii="Garamond" w:hAnsi="Garamond"/>
        </w:rPr>
        <w:t xml:space="preserve"> (</w:t>
      </w:r>
      <w:r w:rsidR="0038727C" w:rsidRPr="00765407">
        <w:rPr>
          <w:rFonts w:ascii="Garamond" w:hAnsi="Garamond"/>
        </w:rPr>
        <w:t xml:space="preserve">a mixed-race </w:t>
      </w:r>
      <w:r w:rsidR="00F877B0" w:rsidRPr="00765407">
        <w:rPr>
          <w:rFonts w:ascii="Garamond" w:hAnsi="Garamond"/>
        </w:rPr>
        <w:t>man</w:t>
      </w:r>
      <w:r w:rsidR="00F877B0" w:rsidRPr="00765407">
        <w:rPr>
          <w:rFonts w:ascii="Garamond" w:hAnsi="Garamond"/>
        </w:rPr>
        <w:t>)</w:t>
      </w:r>
      <w:r w:rsidR="005801C5">
        <w:rPr>
          <w:rFonts w:ascii="Garamond" w:hAnsi="Garamond"/>
        </w:rPr>
        <w:t>,</w:t>
      </w:r>
      <w:r w:rsidR="00F877B0" w:rsidRPr="00765407">
        <w:rPr>
          <w:rFonts w:ascii="Garamond" w:hAnsi="Garamond"/>
        </w:rPr>
        <w:t xml:space="preserve"> </w:t>
      </w:r>
      <w:r w:rsidRPr="00765407">
        <w:rPr>
          <w:rFonts w:ascii="Garamond" w:hAnsi="Garamond"/>
        </w:rPr>
        <w:t xml:space="preserve">came to the French convention to deliver speeches on the abolition of slavery. </w:t>
      </w:r>
      <w:r w:rsidR="00F877B0" w:rsidRPr="00765407">
        <w:rPr>
          <w:rFonts w:ascii="Garamond" w:hAnsi="Garamond"/>
        </w:rPr>
        <w:t xml:space="preserve">Upon </w:t>
      </w:r>
      <w:r w:rsidR="005801C5">
        <w:rPr>
          <w:rFonts w:ascii="Garamond" w:hAnsi="Garamond"/>
        </w:rPr>
        <w:t xml:space="preserve">their first visit to </w:t>
      </w:r>
      <w:r w:rsidR="00F877B0" w:rsidRPr="00765407">
        <w:rPr>
          <w:rFonts w:ascii="Garamond" w:hAnsi="Garamond"/>
        </w:rPr>
        <w:t xml:space="preserve">the assembly, a member of the convention “demand[ed] that their introduction be marked by the President’s fraternal embrace.” After sharing a kiss with the president, the convention </w:t>
      </w:r>
      <w:r w:rsidR="0038727C" w:rsidRPr="00765407">
        <w:rPr>
          <w:rFonts w:ascii="Garamond" w:hAnsi="Garamond"/>
        </w:rPr>
        <w:t>rang</w:t>
      </w:r>
      <w:r w:rsidR="00F877B0" w:rsidRPr="00765407">
        <w:rPr>
          <w:rFonts w:ascii="Garamond" w:hAnsi="Garamond"/>
        </w:rPr>
        <w:t xml:space="preserve"> out with applause. The next day, Bellay delivered a </w:t>
      </w:r>
      <w:r w:rsidR="005801C5">
        <w:rPr>
          <w:rFonts w:ascii="Garamond" w:hAnsi="Garamond"/>
        </w:rPr>
        <w:t xml:space="preserve">fiery </w:t>
      </w:r>
      <w:r w:rsidR="00F877B0" w:rsidRPr="00765407">
        <w:rPr>
          <w:rFonts w:ascii="Garamond" w:hAnsi="Garamond"/>
        </w:rPr>
        <w:t xml:space="preserve">speech </w:t>
      </w:r>
      <w:r w:rsidR="005801C5">
        <w:rPr>
          <w:rFonts w:ascii="Garamond" w:hAnsi="Garamond"/>
        </w:rPr>
        <w:t>in support of the revolution’s ideals and implored t</w:t>
      </w:r>
      <w:r w:rsidR="00F877B0" w:rsidRPr="00765407">
        <w:rPr>
          <w:rFonts w:ascii="Garamond" w:hAnsi="Garamond"/>
        </w:rPr>
        <w:t>he Convention to abolish slavery</w:t>
      </w:r>
      <w:r w:rsidR="004A034D" w:rsidRPr="00765407">
        <w:rPr>
          <w:rFonts w:ascii="Garamond" w:hAnsi="Garamond"/>
        </w:rPr>
        <w:t xml:space="preserve">. No one spoke after Bellay, and </w:t>
      </w:r>
      <w:r w:rsidR="0038727C" w:rsidRPr="00765407">
        <w:rPr>
          <w:rFonts w:ascii="Garamond" w:hAnsi="Garamond"/>
        </w:rPr>
        <w:t xml:space="preserve">one member </w:t>
      </w:r>
      <w:r w:rsidR="004A034D" w:rsidRPr="00765407">
        <w:rPr>
          <w:rFonts w:ascii="Garamond" w:hAnsi="Garamond"/>
        </w:rPr>
        <w:t xml:space="preserve">called a motion that the Convention not “dishonour itself by a discussion” on </w:t>
      </w:r>
      <w:r w:rsidR="00A8415C" w:rsidRPr="00765407">
        <w:rPr>
          <w:rFonts w:ascii="Garamond" w:hAnsi="Garamond"/>
        </w:rPr>
        <w:t>the</w:t>
      </w:r>
      <w:r w:rsidR="004A034D" w:rsidRPr="00765407">
        <w:rPr>
          <w:rFonts w:ascii="Garamond" w:hAnsi="Garamond"/>
        </w:rPr>
        <w:t xml:space="preserve"> matter</w:t>
      </w:r>
      <w:r w:rsidR="00A8415C" w:rsidRPr="00765407">
        <w:rPr>
          <w:rFonts w:ascii="Garamond" w:hAnsi="Garamond"/>
        </w:rPr>
        <w:t>, and so t</w:t>
      </w:r>
      <w:r w:rsidR="004A034D" w:rsidRPr="00765407">
        <w:rPr>
          <w:rFonts w:ascii="Garamond" w:hAnsi="Garamond"/>
        </w:rPr>
        <w:t xml:space="preserve">he </w:t>
      </w:r>
      <w:r w:rsidR="00F877B0" w:rsidRPr="00765407">
        <w:rPr>
          <w:rFonts w:ascii="Garamond" w:hAnsi="Garamond"/>
        </w:rPr>
        <w:t xml:space="preserve">assembly </w:t>
      </w:r>
      <w:r w:rsidR="004A034D" w:rsidRPr="00765407">
        <w:rPr>
          <w:rFonts w:ascii="Garamond" w:hAnsi="Garamond"/>
        </w:rPr>
        <w:t>rose in a</w:t>
      </w:r>
      <w:r w:rsidR="00F877B0" w:rsidRPr="00765407">
        <w:rPr>
          <w:rFonts w:ascii="Garamond" w:hAnsi="Garamond"/>
        </w:rPr>
        <w:t>cclamation</w:t>
      </w:r>
      <w:r w:rsidR="0038727C" w:rsidRPr="00765407">
        <w:rPr>
          <w:rFonts w:ascii="Garamond" w:hAnsi="Garamond"/>
        </w:rPr>
        <w:t xml:space="preserve">, as the president announced </w:t>
      </w:r>
      <w:r w:rsidR="0038727C" w:rsidRPr="00765407">
        <w:rPr>
          <w:rFonts w:ascii="Garamond" w:hAnsi="Garamond"/>
        </w:rPr>
        <w:lastRenderedPageBreak/>
        <w:t>slavery aboli</w:t>
      </w:r>
      <w:r w:rsidR="00A8415C" w:rsidRPr="00765407">
        <w:rPr>
          <w:rFonts w:ascii="Garamond" w:hAnsi="Garamond"/>
        </w:rPr>
        <w:t>shed</w:t>
      </w:r>
      <w:r w:rsidR="00F877B0" w:rsidRPr="00765407">
        <w:rPr>
          <w:rFonts w:ascii="Garamond" w:hAnsi="Garamond"/>
        </w:rPr>
        <w:t>.</w:t>
      </w:r>
      <w:r w:rsidR="005801C5">
        <w:rPr>
          <w:rFonts w:ascii="Garamond" w:hAnsi="Garamond"/>
        </w:rPr>
        <w:t xml:space="preserve"> Following the announcement, the “t</w:t>
      </w:r>
      <w:r w:rsidR="00F877B0" w:rsidRPr="00765407">
        <w:rPr>
          <w:rFonts w:ascii="Garamond" w:hAnsi="Garamond"/>
        </w:rPr>
        <w:t>wo deputies of colo</w:t>
      </w:r>
      <w:r w:rsidR="004A034D" w:rsidRPr="00765407">
        <w:rPr>
          <w:rFonts w:ascii="Garamond" w:hAnsi="Garamond"/>
        </w:rPr>
        <w:t>u</w:t>
      </w:r>
      <w:r w:rsidR="00F877B0" w:rsidRPr="00765407">
        <w:rPr>
          <w:rFonts w:ascii="Garamond" w:hAnsi="Garamond"/>
        </w:rPr>
        <w:t>r appear</w:t>
      </w:r>
      <w:r w:rsidR="005801C5">
        <w:rPr>
          <w:rFonts w:ascii="Garamond" w:hAnsi="Garamond"/>
        </w:rPr>
        <w:t>ed</w:t>
      </w:r>
      <w:r w:rsidR="00F877B0" w:rsidRPr="00765407">
        <w:rPr>
          <w:rFonts w:ascii="Garamond" w:hAnsi="Garamond"/>
        </w:rPr>
        <w:t xml:space="preserve"> on the tribune</w:t>
      </w:r>
      <w:r w:rsidR="004A034D" w:rsidRPr="00765407">
        <w:rPr>
          <w:rFonts w:ascii="Garamond" w:hAnsi="Garamond"/>
        </w:rPr>
        <w:t xml:space="preserve"> and embraced while the applause rolled around the hall from members and visitors. Lacroix led the Mulatto and the Negro to the President who gave them the presidential [fraternal] kiss, when the applaus</w:t>
      </w:r>
      <w:r w:rsidR="00CD4B13" w:rsidRPr="00765407">
        <w:rPr>
          <w:rFonts w:ascii="Garamond" w:hAnsi="Garamond"/>
        </w:rPr>
        <w:t>e</w:t>
      </w:r>
      <w:r w:rsidR="004A034D" w:rsidRPr="00765407">
        <w:rPr>
          <w:rFonts w:ascii="Garamond" w:hAnsi="Garamond"/>
        </w:rPr>
        <w:t xml:space="preserve"> started again.”</w:t>
      </w:r>
      <w:r w:rsidR="00F877B0" w:rsidRPr="00765407">
        <w:rPr>
          <w:rFonts w:ascii="Garamond" w:hAnsi="Garamond"/>
        </w:rPr>
        <w:t xml:space="preserve"> Following </w:t>
      </w:r>
      <w:r w:rsidR="004A034D" w:rsidRPr="00765407">
        <w:rPr>
          <w:rFonts w:ascii="Garamond" w:hAnsi="Garamond"/>
        </w:rPr>
        <w:t xml:space="preserve">this embrace, </w:t>
      </w:r>
      <w:r w:rsidR="00F877B0" w:rsidRPr="00765407">
        <w:rPr>
          <w:rFonts w:ascii="Garamond" w:hAnsi="Garamond"/>
        </w:rPr>
        <w:t>the minutes of the assembly note that a certain “</w:t>
      </w:r>
      <w:proofErr w:type="spellStart"/>
      <w:r w:rsidR="00F877B0" w:rsidRPr="00765407">
        <w:rPr>
          <w:rFonts w:ascii="Garamond" w:hAnsi="Garamond"/>
        </w:rPr>
        <w:t>citizeness</w:t>
      </w:r>
      <w:proofErr w:type="spellEnd"/>
      <w:r w:rsidR="00F877B0" w:rsidRPr="00765407">
        <w:rPr>
          <w:rFonts w:ascii="Garamond" w:hAnsi="Garamond"/>
        </w:rPr>
        <w:t xml:space="preserve"> of colo</w:t>
      </w:r>
      <w:r w:rsidR="004A034D" w:rsidRPr="00765407">
        <w:rPr>
          <w:rFonts w:ascii="Garamond" w:hAnsi="Garamond"/>
        </w:rPr>
        <w:t>ur who</w:t>
      </w:r>
      <w:r w:rsidR="00F877B0" w:rsidRPr="00765407">
        <w:rPr>
          <w:rFonts w:ascii="Garamond" w:hAnsi="Garamond"/>
        </w:rPr>
        <w:t xml:space="preserve"> regularly </w:t>
      </w:r>
      <w:r w:rsidR="004A034D" w:rsidRPr="00765407">
        <w:rPr>
          <w:rFonts w:ascii="Garamond" w:hAnsi="Garamond"/>
        </w:rPr>
        <w:t xml:space="preserve">attends the </w:t>
      </w:r>
      <w:r w:rsidR="00A8415C" w:rsidRPr="00765407">
        <w:rPr>
          <w:rFonts w:ascii="Garamond" w:hAnsi="Garamond"/>
        </w:rPr>
        <w:t>sittings</w:t>
      </w:r>
      <w:r w:rsidR="004A034D" w:rsidRPr="00765407">
        <w:rPr>
          <w:rFonts w:ascii="Garamond" w:hAnsi="Garamond"/>
        </w:rPr>
        <w:t xml:space="preserve"> of the Convention has just felt </w:t>
      </w:r>
      <w:r w:rsidR="00F877B0" w:rsidRPr="00765407">
        <w:rPr>
          <w:rFonts w:ascii="Garamond" w:hAnsi="Garamond"/>
        </w:rPr>
        <w:t xml:space="preserve">so keen a joy at seeing us </w:t>
      </w:r>
      <w:r w:rsidR="0038727C" w:rsidRPr="00765407">
        <w:rPr>
          <w:rFonts w:ascii="Garamond" w:hAnsi="Garamond"/>
        </w:rPr>
        <w:t>give</w:t>
      </w:r>
      <w:r w:rsidR="00F877B0" w:rsidRPr="00765407">
        <w:rPr>
          <w:rFonts w:ascii="Garamond" w:hAnsi="Garamond"/>
        </w:rPr>
        <w:t xml:space="preserve"> liberty to all her brethren that she has fainted</w:t>
      </w:r>
      <w:r w:rsidR="0038727C" w:rsidRPr="00765407">
        <w:rPr>
          <w:rFonts w:ascii="Garamond" w:hAnsi="Garamond"/>
        </w:rPr>
        <w:t xml:space="preserve"> (applause). </w:t>
      </w:r>
      <w:r w:rsidR="00F877B0" w:rsidRPr="00765407">
        <w:rPr>
          <w:rFonts w:ascii="Garamond" w:hAnsi="Garamond"/>
        </w:rPr>
        <w:t xml:space="preserve">I demand that this fact be mentioned in the minutes, and that this </w:t>
      </w:r>
      <w:proofErr w:type="spellStart"/>
      <w:r w:rsidR="00F877B0" w:rsidRPr="00765407">
        <w:rPr>
          <w:rFonts w:ascii="Garamond" w:hAnsi="Garamond"/>
        </w:rPr>
        <w:t>citizeness</w:t>
      </w:r>
      <w:proofErr w:type="spellEnd"/>
      <w:r w:rsidR="00F877B0" w:rsidRPr="00765407">
        <w:rPr>
          <w:rFonts w:ascii="Garamond" w:hAnsi="Garamond"/>
        </w:rPr>
        <w:t xml:space="preserve"> be admitted to the sitting and receive at least this much recognition of her civic virtues.”</w:t>
      </w:r>
      <w:r w:rsidR="006E3CB9" w:rsidRPr="00765407">
        <w:rPr>
          <w:rFonts w:ascii="Garamond" w:hAnsi="Garamond"/>
        </w:rPr>
        <w:t xml:space="preserve"> </w:t>
      </w:r>
      <w:r w:rsidR="00172437" w:rsidRPr="00765407">
        <w:rPr>
          <w:rFonts w:ascii="Garamond" w:hAnsi="Garamond"/>
        </w:rPr>
        <w:t xml:space="preserve">The motion carried, and </w:t>
      </w:r>
      <w:r w:rsidR="00ED2E85" w:rsidRPr="00765407">
        <w:rPr>
          <w:rFonts w:ascii="Garamond" w:hAnsi="Garamond"/>
        </w:rPr>
        <w:t xml:space="preserve">Jeanne </w:t>
      </w:r>
      <w:proofErr w:type="spellStart"/>
      <w:r w:rsidR="00ED2E85" w:rsidRPr="00765407">
        <w:rPr>
          <w:rFonts w:ascii="Garamond" w:hAnsi="Garamond"/>
        </w:rPr>
        <w:t>Odo</w:t>
      </w:r>
      <w:proofErr w:type="spellEnd"/>
      <w:r w:rsidR="00ED2E85" w:rsidRPr="00765407">
        <w:rPr>
          <w:rFonts w:ascii="Garamond" w:hAnsi="Garamond"/>
        </w:rPr>
        <w:t>,</w:t>
      </w:r>
      <w:r w:rsidR="00ED2E85" w:rsidRPr="00765407">
        <w:rPr>
          <w:rFonts w:ascii="Garamond" w:hAnsi="Garamond"/>
          <w:b/>
          <w:bCs/>
        </w:rPr>
        <w:t xml:space="preserve"> </w:t>
      </w:r>
      <w:r w:rsidR="00ED2E85" w:rsidRPr="00765407">
        <w:rPr>
          <w:rFonts w:ascii="Garamond" w:hAnsi="Garamond"/>
        </w:rPr>
        <w:t>a former slave</w:t>
      </w:r>
      <w:r w:rsidR="00ED2E85" w:rsidRPr="00765407">
        <w:rPr>
          <w:rFonts w:ascii="Garamond" w:hAnsi="Garamond"/>
        </w:rPr>
        <w:t xml:space="preserve"> and</w:t>
      </w:r>
      <w:r w:rsidR="00ED2E85" w:rsidRPr="00765407">
        <w:rPr>
          <w:rFonts w:ascii="Garamond" w:hAnsi="Garamond"/>
        </w:rPr>
        <w:t xml:space="preserve"> abolitionist</w:t>
      </w:r>
      <w:r w:rsidR="00ED2E85" w:rsidRPr="00765407">
        <w:rPr>
          <w:rFonts w:ascii="Garamond" w:hAnsi="Garamond"/>
        </w:rPr>
        <w:t xml:space="preserve">, </w:t>
      </w:r>
      <w:r w:rsidR="00172437" w:rsidRPr="00765407">
        <w:rPr>
          <w:rFonts w:ascii="Garamond" w:hAnsi="Garamond"/>
        </w:rPr>
        <w:t xml:space="preserve">walked to the front bench of the </w:t>
      </w:r>
      <w:r w:rsidR="004A034D" w:rsidRPr="00765407">
        <w:rPr>
          <w:rFonts w:ascii="Garamond" w:hAnsi="Garamond"/>
        </w:rPr>
        <w:t xml:space="preserve">amphitheatre </w:t>
      </w:r>
      <w:r w:rsidR="00172437" w:rsidRPr="00765407">
        <w:rPr>
          <w:rFonts w:ascii="Garamond" w:hAnsi="Garamond"/>
        </w:rPr>
        <w:t xml:space="preserve">amidst </w:t>
      </w:r>
      <w:r w:rsidR="005801C5">
        <w:rPr>
          <w:rFonts w:ascii="Garamond" w:hAnsi="Garamond"/>
        </w:rPr>
        <w:t xml:space="preserve">the </w:t>
      </w:r>
      <w:r w:rsidR="00172437" w:rsidRPr="00765407">
        <w:rPr>
          <w:rFonts w:ascii="Garamond" w:hAnsi="Garamond"/>
        </w:rPr>
        <w:t xml:space="preserve">cheering and for the rest of the meeting sat </w:t>
      </w:r>
      <w:r w:rsidR="004A034D" w:rsidRPr="00765407">
        <w:rPr>
          <w:rFonts w:ascii="Garamond" w:hAnsi="Garamond"/>
        </w:rPr>
        <w:t>to the President’s left.</w:t>
      </w:r>
      <w:r w:rsidR="004A034D" w:rsidRPr="00765407">
        <w:rPr>
          <w:rStyle w:val="FootnoteReference"/>
          <w:rFonts w:ascii="Garamond" w:hAnsi="Garamond"/>
        </w:rPr>
        <w:footnoteReference w:id="66"/>
      </w:r>
    </w:p>
    <w:p w14:paraId="31DCC19D" w14:textId="404A8BAA" w:rsidR="00A8415C" w:rsidRPr="00765407" w:rsidRDefault="005801C5" w:rsidP="00ED2E85">
      <w:pPr>
        <w:spacing w:line="360" w:lineRule="auto"/>
        <w:ind w:firstLine="720"/>
        <w:jc w:val="both"/>
        <w:rPr>
          <w:rFonts w:ascii="Garamond" w:hAnsi="Garamond"/>
        </w:rPr>
      </w:pPr>
      <w:r w:rsidRPr="00765407">
        <w:rPr>
          <w:rFonts w:ascii="Garamond" w:hAnsi="Garamond"/>
        </w:rPr>
        <w:t>Although</w:t>
      </w:r>
      <w:r w:rsidR="00172437" w:rsidRPr="00765407">
        <w:rPr>
          <w:rFonts w:ascii="Garamond" w:hAnsi="Garamond"/>
        </w:rPr>
        <w:t xml:space="preserve"> an expansive literature exists on this short revolutionary period of abolition, scholars have </w:t>
      </w:r>
      <w:r w:rsidR="00172437" w:rsidRPr="00765407">
        <w:rPr>
          <w:rFonts w:ascii="Garamond" w:hAnsi="Garamond"/>
        </w:rPr>
        <w:t xml:space="preserve">rarely </w:t>
      </w:r>
      <w:r w:rsidR="00172437" w:rsidRPr="00765407">
        <w:rPr>
          <w:rFonts w:ascii="Garamond" w:hAnsi="Garamond"/>
        </w:rPr>
        <w:t xml:space="preserve">analyzed the </w:t>
      </w:r>
      <w:r w:rsidR="00172437" w:rsidRPr="00765407">
        <w:rPr>
          <w:rFonts w:ascii="Garamond" w:hAnsi="Garamond"/>
        </w:rPr>
        <w:t>affective and corporeal dynamics of this significant event.</w:t>
      </w:r>
      <w:r w:rsidR="00172437" w:rsidRPr="00765407">
        <w:rPr>
          <w:rStyle w:val="FootnoteReference"/>
          <w:rFonts w:ascii="Garamond" w:hAnsi="Garamond"/>
        </w:rPr>
        <w:footnoteReference w:id="67"/>
      </w:r>
      <w:r w:rsidR="00172437" w:rsidRPr="00765407">
        <w:rPr>
          <w:rFonts w:ascii="Garamond" w:hAnsi="Garamond"/>
        </w:rPr>
        <w:t xml:space="preserve"> </w:t>
      </w:r>
      <w:r w:rsidR="007F49DC">
        <w:rPr>
          <w:rFonts w:ascii="Garamond" w:hAnsi="Garamond"/>
        </w:rPr>
        <w:t>One</w:t>
      </w:r>
      <w:r w:rsidR="00552E28" w:rsidRPr="00765407">
        <w:rPr>
          <w:rFonts w:ascii="Garamond" w:hAnsi="Garamond"/>
        </w:rPr>
        <w:t xml:space="preserve"> years after the beheading of the king and what </w:t>
      </w:r>
      <w:proofErr w:type="spellStart"/>
      <w:r w:rsidR="00552E28" w:rsidRPr="00765407">
        <w:rPr>
          <w:rFonts w:ascii="Garamond" w:hAnsi="Garamond"/>
        </w:rPr>
        <w:t>Lefort</w:t>
      </w:r>
      <w:proofErr w:type="spellEnd"/>
      <w:r w:rsidR="00552E28" w:rsidRPr="00765407">
        <w:rPr>
          <w:rFonts w:ascii="Garamond" w:hAnsi="Garamond"/>
        </w:rPr>
        <w:t xml:space="preserve"> calls the dis-incorporation of the social body, Haitian and French revolutionaries abolish</w:t>
      </w:r>
      <w:r w:rsidR="007F49DC">
        <w:rPr>
          <w:rFonts w:ascii="Garamond" w:hAnsi="Garamond"/>
        </w:rPr>
        <w:t>ed</w:t>
      </w:r>
      <w:r w:rsidR="00552E28" w:rsidRPr="00765407">
        <w:rPr>
          <w:rFonts w:ascii="Garamond" w:hAnsi="Garamond"/>
        </w:rPr>
        <w:t xml:space="preserve"> the “aristocratic of skin” </w:t>
      </w:r>
      <w:r w:rsidR="00B53D49" w:rsidRPr="00765407">
        <w:rPr>
          <w:rFonts w:ascii="Garamond" w:hAnsi="Garamond"/>
        </w:rPr>
        <w:t xml:space="preserve">and declared freed non-whites to be fully equal in rights to white Frenchmen </w:t>
      </w:r>
      <w:r w:rsidR="00552E28" w:rsidRPr="00765407">
        <w:rPr>
          <w:rFonts w:ascii="Garamond" w:hAnsi="Garamond"/>
        </w:rPr>
        <w:t xml:space="preserve">not by abolishing the architecture of </w:t>
      </w:r>
      <w:r w:rsidR="00B53D49" w:rsidRPr="00765407">
        <w:rPr>
          <w:rFonts w:ascii="Garamond" w:hAnsi="Garamond"/>
        </w:rPr>
        <w:t xml:space="preserve">their </w:t>
      </w:r>
      <w:r w:rsidR="00552E28" w:rsidRPr="00765407">
        <w:rPr>
          <w:rFonts w:ascii="Garamond" w:hAnsi="Garamond"/>
        </w:rPr>
        <w:t>bodies but by reorganizing their relations.</w:t>
      </w:r>
      <w:r w:rsidR="00A8415C" w:rsidRPr="00765407">
        <w:rPr>
          <w:rFonts w:ascii="Garamond" w:hAnsi="Garamond"/>
        </w:rPr>
        <w:t xml:space="preserve"> The embrace of</w:t>
      </w:r>
      <w:r w:rsidR="007F49DC">
        <w:rPr>
          <w:rFonts w:ascii="Garamond" w:hAnsi="Garamond"/>
        </w:rPr>
        <w:t xml:space="preserve"> the</w:t>
      </w:r>
      <w:r w:rsidR="00A8415C" w:rsidRPr="00765407">
        <w:rPr>
          <w:rFonts w:ascii="Garamond" w:hAnsi="Garamond"/>
        </w:rPr>
        <w:t xml:space="preserve"> </w:t>
      </w:r>
      <w:r w:rsidR="00ED2E85" w:rsidRPr="00765407">
        <w:rPr>
          <w:rFonts w:ascii="Garamond" w:hAnsi="Garamond"/>
        </w:rPr>
        <w:t>deputies</w:t>
      </w:r>
      <w:r w:rsidR="00A8415C" w:rsidRPr="00765407">
        <w:rPr>
          <w:rFonts w:ascii="Garamond" w:hAnsi="Garamond"/>
        </w:rPr>
        <w:t xml:space="preserve">, the </w:t>
      </w:r>
      <w:proofErr w:type="spellStart"/>
      <w:r w:rsidR="00A8415C" w:rsidRPr="00765407">
        <w:rPr>
          <w:rFonts w:ascii="Garamond" w:hAnsi="Garamond"/>
          <w:i/>
          <w:iCs/>
        </w:rPr>
        <w:t>baiser</w:t>
      </w:r>
      <w:proofErr w:type="spellEnd"/>
      <w:r w:rsidR="00A8415C" w:rsidRPr="00765407">
        <w:rPr>
          <w:rFonts w:ascii="Garamond" w:hAnsi="Garamond"/>
          <w:i/>
          <w:iCs/>
        </w:rPr>
        <w:t xml:space="preserve"> </w:t>
      </w:r>
      <w:proofErr w:type="spellStart"/>
      <w:r w:rsidR="00A8415C" w:rsidRPr="00765407">
        <w:rPr>
          <w:rFonts w:ascii="Garamond" w:hAnsi="Garamond"/>
          <w:i/>
          <w:iCs/>
        </w:rPr>
        <w:t>fraternel</w:t>
      </w:r>
      <w:proofErr w:type="spellEnd"/>
      <w:r w:rsidR="00A8415C" w:rsidRPr="00765407">
        <w:rPr>
          <w:rFonts w:ascii="Garamond" w:hAnsi="Garamond"/>
          <w:i/>
          <w:iCs/>
        </w:rPr>
        <w:t xml:space="preserve"> </w:t>
      </w:r>
      <w:r w:rsidR="00A8415C" w:rsidRPr="00765407">
        <w:rPr>
          <w:rFonts w:ascii="Garamond" w:hAnsi="Garamond"/>
        </w:rPr>
        <w:t xml:space="preserve">(fraternal kiss) </w:t>
      </w:r>
      <w:r w:rsidR="00ED2E85" w:rsidRPr="00765407">
        <w:rPr>
          <w:rFonts w:ascii="Garamond" w:hAnsi="Garamond"/>
        </w:rPr>
        <w:t xml:space="preserve">shared </w:t>
      </w:r>
      <w:r w:rsidR="00A8415C" w:rsidRPr="00765407">
        <w:rPr>
          <w:rFonts w:ascii="Garamond" w:hAnsi="Garamond"/>
        </w:rPr>
        <w:t xml:space="preserve">between </w:t>
      </w:r>
      <w:r w:rsidR="00ED2E85" w:rsidRPr="00765407">
        <w:rPr>
          <w:rFonts w:ascii="Garamond" w:hAnsi="Garamond"/>
        </w:rPr>
        <w:t xml:space="preserve">Bellay and Mills with the white </w:t>
      </w:r>
      <w:r w:rsidR="00A8415C" w:rsidRPr="00765407">
        <w:rPr>
          <w:rFonts w:ascii="Garamond" w:hAnsi="Garamond"/>
        </w:rPr>
        <w:t xml:space="preserve">revolutionaries, and </w:t>
      </w:r>
      <w:proofErr w:type="spellStart"/>
      <w:r w:rsidR="00ED2E85" w:rsidRPr="00765407">
        <w:rPr>
          <w:rFonts w:ascii="Garamond" w:hAnsi="Garamond"/>
        </w:rPr>
        <w:t>Odo</w:t>
      </w:r>
      <w:proofErr w:type="spellEnd"/>
      <w:r w:rsidR="00ED2E85" w:rsidRPr="00765407">
        <w:rPr>
          <w:rFonts w:ascii="Garamond" w:hAnsi="Garamond"/>
        </w:rPr>
        <w:t xml:space="preserve"> </w:t>
      </w:r>
      <w:r w:rsidR="00A8415C" w:rsidRPr="00765407">
        <w:rPr>
          <w:rFonts w:ascii="Garamond" w:hAnsi="Garamond"/>
        </w:rPr>
        <w:t>moving from the visitors</w:t>
      </w:r>
      <w:r w:rsidR="00ED2E85" w:rsidRPr="00765407">
        <w:rPr>
          <w:rFonts w:ascii="Garamond" w:hAnsi="Garamond"/>
        </w:rPr>
        <w:t>’</w:t>
      </w:r>
      <w:r w:rsidR="00A8415C" w:rsidRPr="00765407">
        <w:rPr>
          <w:rFonts w:ascii="Garamond" w:hAnsi="Garamond"/>
        </w:rPr>
        <w:t xml:space="preserve"> gallery to sit next </w:t>
      </w:r>
      <w:r w:rsidR="00ED2E85" w:rsidRPr="00765407">
        <w:rPr>
          <w:rFonts w:ascii="Garamond" w:hAnsi="Garamond"/>
        </w:rPr>
        <w:t xml:space="preserve">to </w:t>
      </w:r>
      <w:r w:rsidR="00A8415C" w:rsidRPr="00765407">
        <w:rPr>
          <w:rFonts w:ascii="Garamond" w:hAnsi="Garamond"/>
        </w:rPr>
        <w:t>the president suggests that this event was not a moment of</w:t>
      </w:r>
      <w:r w:rsidR="007F49DC">
        <w:rPr>
          <w:rFonts w:ascii="Garamond" w:hAnsi="Garamond"/>
        </w:rPr>
        <w:t xml:space="preserve"> the body </w:t>
      </w:r>
      <w:proofErr w:type="spellStart"/>
      <w:r w:rsidR="007F49DC">
        <w:rPr>
          <w:rFonts w:ascii="Garamond" w:hAnsi="Garamond"/>
        </w:rPr>
        <w:t>politic’s</w:t>
      </w:r>
      <w:proofErr w:type="spellEnd"/>
      <w:r w:rsidR="00A8415C" w:rsidRPr="00765407">
        <w:rPr>
          <w:rFonts w:ascii="Garamond" w:hAnsi="Garamond"/>
        </w:rPr>
        <w:t xml:space="preserve"> </w:t>
      </w:r>
      <w:r w:rsidR="00A8415C" w:rsidRPr="00765407">
        <w:rPr>
          <w:rFonts w:ascii="Garamond" w:hAnsi="Garamond"/>
        </w:rPr>
        <w:t>dis-incorporation</w:t>
      </w:r>
      <w:r w:rsidR="007F49DC">
        <w:rPr>
          <w:rFonts w:ascii="Garamond" w:hAnsi="Garamond"/>
        </w:rPr>
        <w:t xml:space="preserve"> </w:t>
      </w:r>
      <w:r w:rsidR="00A8415C" w:rsidRPr="00765407">
        <w:rPr>
          <w:rFonts w:ascii="Garamond" w:hAnsi="Garamond"/>
        </w:rPr>
        <w:t xml:space="preserve">so much as its </w:t>
      </w:r>
      <w:r w:rsidR="00A8415C" w:rsidRPr="00765407">
        <w:rPr>
          <w:rFonts w:ascii="Garamond" w:hAnsi="Garamond"/>
        </w:rPr>
        <w:t xml:space="preserve">re-incorporation, as </w:t>
      </w:r>
      <w:r w:rsidR="007F49DC">
        <w:rPr>
          <w:rFonts w:ascii="Garamond" w:hAnsi="Garamond"/>
        </w:rPr>
        <w:t xml:space="preserve">the </w:t>
      </w:r>
      <w:r w:rsidR="00A8415C" w:rsidRPr="00765407">
        <w:rPr>
          <w:rFonts w:ascii="Garamond" w:hAnsi="Garamond"/>
        </w:rPr>
        <w:t xml:space="preserve">citizens </w:t>
      </w:r>
      <w:r w:rsidR="007F49DC">
        <w:rPr>
          <w:rFonts w:ascii="Garamond" w:hAnsi="Garamond"/>
        </w:rPr>
        <w:t xml:space="preserve">incorporate themselves into a new body in and through the </w:t>
      </w:r>
      <w:r w:rsidR="00A8415C" w:rsidRPr="00765407">
        <w:rPr>
          <w:rFonts w:ascii="Garamond" w:hAnsi="Garamond"/>
        </w:rPr>
        <w:t xml:space="preserve">intimacy </w:t>
      </w:r>
      <w:r w:rsidR="00A8415C" w:rsidRPr="00765407">
        <w:rPr>
          <w:rFonts w:ascii="Garamond" w:hAnsi="Garamond"/>
        </w:rPr>
        <w:t>and proximity of the their</w:t>
      </w:r>
      <w:r w:rsidR="00A8415C" w:rsidRPr="00765407">
        <w:rPr>
          <w:rFonts w:ascii="Garamond" w:hAnsi="Garamond"/>
        </w:rPr>
        <w:t xml:space="preserve"> natural bodies.</w:t>
      </w:r>
      <w:r w:rsidR="00ED2E85" w:rsidRPr="00765407">
        <w:rPr>
          <w:rFonts w:ascii="Garamond" w:hAnsi="Garamond"/>
        </w:rPr>
        <w:t xml:space="preserve"> </w:t>
      </w:r>
      <w:r w:rsidR="00A8415C" w:rsidRPr="00765407">
        <w:rPr>
          <w:rFonts w:ascii="Garamond" w:hAnsi="Garamond"/>
        </w:rPr>
        <w:t>Although the</w:t>
      </w:r>
      <w:r w:rsidR="00ED2E85" w:rsidRPr="00765407">
        <w:rPr>
          <w:rFonts w:ascii="Garamond" w:hAnsi="Garamond"/>
        </w:rPr>
        <w:t xml:space="preserve"> </w:t>
      </w:r>
      <w:r w:rsidR="00A8415C" w:rsidRPr="00765407">
        <w:rPr>
          <w:rFonts w:ascii="Garamond" w:hAnsi="Garamond"/>
        </w:rPr>
        <w:t xml:space="preserve">significance of </w:t>
      </w:r>
      <w:proofErr w:type="spellStart"/>
      <w:r w:rsidR="00ED2E85" w:rsidRPr="00765407">
        <w:rPr>
          <w:rFonts w:ascii="Garamond" w:hAnsi="Garamond"/>
        </w:rPr>
        <w:t>Odo’s</w:t>
      </w:r>
      <w:proofErr w:type="spellEnd"/>
      <w:r w:rsidR="00ED2E85" w:rsidRPr="00765407">
        <w:rPr>
          <w:rFonts w:ascii="Garamond" w:hAnsi="Garamond"/>
        </w:rPr>
        <w:t xml:space="preserve"> </w:t>
      </w:r>
      <w:r w:rsidR="00A8415C" w:rsidRPr="00765407">
        <w:rPr>
          <w:rFonts w:ascii="Garamond" w:hAnsi="Garamond"/>
        </w:rPr>
        <w:t>affective gesture of fainting, her bodily</w:t>
      </w:r>
      <w:r w:rsidR="00A8415C" w:rsidRPr="00765407">
        <w:rPr>
          <w:rFonts w:ascii="Garamond" w:hAnsi="Garamond"/>
        </w:rPr>
        <w:t xml:space="preserve"> inclusion</w:t>
      </w:r>
      <w:r w:rsidR="00A8415C" w:rsidRPr="00765407">
        <w:rPr>
          <w:rFonts w:ascii="Garamond" w:hAnsi="Garamond"/>
        </w:rPr>
        <w:t xml:space="preserve"> among the </w:t>
      </w:r>
      <w:r w:rsidR="007F49DC">
        <w:rPr>
          <w:rFonts w:ascii="Garamond" w:hAnsi="Garamond"/>
        </w:rPr>
        <w:t>delegates</w:t>
      </w:r>
      <w:r w:rsidR="00A8415C" w:rsidRPr="00765407">
        <w:rPr>
          <w:rFonts w:ascii="Garamond" w:hAnsi="Garamond"/>
        </w:rPr>
        <w:t xml:space="preserve"> and her </w:t>
      </w:r>
      <w:r w:rsidR="00A8415C" w:rsidRPr="00765407">
        <w:rPr>
          <w:rFonts w:ascii="Garamond" w:hAnsi="Garamond"/>
        </w:rPr>
        <w:t xml:space="preserve">continued legal exclusion </w:t>
      </w:r>
      <w:proofErr w:type="gramStart"/>
      <w:r w:rsidR="00A8415C" w:rsidRPr="00765407">
        <w:rPr>
          <w:rFonts w:ascii="Garamond" w:hAnsi="Garamond"/>
        </w:rPr>
        <w:t>on the basis of</w:t>
      </w:r>
      <w:proofErr w:type="gramEnd"/>
      <w:r w:rsidR="00A8415C" w:rsidRPr="00765407">
        <w:rPr>
          <w:rFonts w:ascii="Garamond" w:hAnsi="Garamond"/>
        </w:rPr>
        <w:t xml:space="preserve"> gender </w:t>
      </w:r>
      <w:r w:rsidR="00A8415C" w:rsidRPr="00765407">
        <w:rPr>
          <w:rFonts w:ascii="Garamond" w:hAnsi="Garamond"/>
        </w:rPr>
        <w:t>deserves</w:t>
      </w:r>
      <w:r w:rsidR="007F49DC">
        <w:rPr>
          <w:rFonts w:ascii="Garamond" w:hAnsi="Garamond"/>
        </w:rPr>
        <w:t xml:space="preserve"> far </w:t>
      </w:r>
      <w:r w:rsidR="00A8415C" w:rsidRPr="00765407">
        <w:rPr>
          <w:rFonts w:ascii="Garamond" w:hAnsi="Garamond"/>
        </w:rPr>
        <w:t xml:space="preserve">closer attention, I want to focus </w:t>
      </w:r>
      <w:r w:rsidR="007F49DC">
        <w:rPr>
          <w:rFonts w:ascii="Garamond" w:hAnsi="Garamond"/>
        </w:rPr>
        <w:t xml:space="preserve">briefly </w:t>
      </w:r>
      <w:r w:rsidR="00A8415C" w:rsidRPr="00765407">
        <w:rPr>
          <w:rFonts w:ascii="Garamond" w:hAnsi="Garamond"/>
        </w:rPr>
        <w:t xml:space="preserve">on </w:t>
      </w:r>
      <w:r w:rsidR="00531381" w:rsidRPr="00765407">
        <w:rPr>
          <w:rFonts w:ascii="Garamond" w:hAnsi="Garamond"/>
        </w:rPr>
        <w:t xml:space="preserve">the fraternal embrace </w:t>
      </w:r>
      <w:r w:rsidR="007F49DC">
        <w:rPr>
          <w:rFonts w:ascii="Garamond" w:hAnsi="Garamond"/>
        </w:rPr>
        <w:t>shared between the white and black delegates</w:t>
      </w:r>
      <w:r w:rsidR="00531381" w:rsidRPr="00765407">
        <w:rPr>
          <w:rFonts w:ascii="Garamond" w:hAnsi="Garamond"/>
        </w:rPr>
        <w:t xml:space="preserve">. </w:t>
      </w:r>
    </w:p>
    <w:p w14:paraId="484CCDA2" w14:textId="42BC7CBB" w:rsidR="00951AA8" w:rsidRPr="008B0182" w:rsidRDefault="007F49DC" w:rsidP="008B0182">
      <w:pPr>
        <w:spacing w:line="360" w:lineRule="auto"/>
        <w:ind w:firstLine="720"/>
        <w:jc w:val="both"/>
        <w:rPr>
          <w:rFonts w:ascii="Garamond" w:hAnsi="Garamond" w:cs="Times New Roman"/>
          <w:lang w:val="en-GB"/>
        </w:rPr>
      </w:pPr>
      <w:r>
        <w:rPr>
          <w:rFonts w:ascii="Garamond" w:hAnsi="Garamond"/>
        </w:rPr>
        <w:t xml:space="preserve">According to </w:t>
      </w:r>
      <w:r w:rsidRPr="00765407">
        <w:rPr>
          <w:rFonts w:ascii="Garamond" w:hAnsi="Garamond"/>
        </w:rPr>
        <w:t>Frantz Fanon</w:t>
      </w:r>
      <w:r>
        <w:rPr>
          <w:rFonts w:ascii="Garamond" w:hAnsi="Garamond"/>
        </w:rPr>
        <w:t xml:space="preserve">, </w:t>
      </w:r>
      <w:r w:rsidRPr="00765407">
        <w:rPr>
          <w:rFonts w:ascii="Garamond" w:hAnsi="Garamond"/>
        </w:rPr>
        <w:t>the colonial imaginary of Europe</w:t>
      </w:r>
      <w:r>
        <w:rPr>
          <w:rFonts w:ascii="Garamond" w:hAnsi="Garamond"/>
        </w:rPr>
        <w:t xml:space="preserve"> figured </w:t>
      </w:r>
      <w:r w:rsidRPr="00765407">
        <w:rPr>
          <w:rFonts w:ascii="Garamond" w:hAnsi="Garamond"/>
        </w:rPr>
        <w:t xml:space="preserve">the black body as an </w:t>
      </w:r>
      <w:r>
        <w:rPr>
          <w:rFonts w:ascii="Garamond" w:hAnsi="Garamond"/>
        </w:rPr>
        <w:t xml:space="preserve">ugly </w:t>
      </w:r>
      <w:r w:rsidRPr="00765407">
        <w:rPr>
          <w:rFonts w:ascii="Garamond" w:hAnsi="Garamond"/>
        </w:rPr>
        <w:t>untouchable object, something to be feared and avoided.</w:t>
      </w:r>
      <w:r w:rsidRPr="00765407">
        <w:rPr>
          <w:rStyle w:val="FootnoteReference"/>
          <w:rFonts w:ascii="Garamond" w:hAnsi="Garamond"/>
        </w:rPr>
        <w:footnoteReference w:id="68"/>
      </w:r>
      <w:r>
        <w:rPr>
          <w:rFonts w:ascii="Garamond" w:hAnsi="Garamond"/>
        </w:rPr>
        <w:t xml:space="preserve"> </w:t>
      </w:r>
      <w:r w:rsidR="003B1EB1" w:rsidRPr="00765407">
        <w:rPr>
          <w:rFonts w:ascii="Garamond" w:hAnsi="Garamond"/>
        </w:rPr>
        <w:t>In 18</w:t>
      </w:r>
      <w:r w:rsidR="003B1EB1" w:rsidRPr="00765407">
        <w:rPr>
          <w:rFonts w:ascii="Garamond" w:hAnsi="Garamond"/>
          <w:vertAlign w:val="superscript"/>
        </w:rPr>
        <w:t>th</w:t>
      </w:r>
      <w:r w:rsidR="003B1EB1" w:rsidRPr="00765407">
        <w:rPr>
          <w:rFonts w:ascii="Garamond" w:hAnsi="Garamond"/>
        </w:rPr>
        <w:t xml:space="preserve"> century France, </w:t>
      </w:r>
      <w:r w:rsidR="003B1EB1" w:rsidRPr="00765407">
        <w:rPr>
          <w:rFonts w:ascii="Garamond" w:hAnsi="Garamond" w:cs="Times New Roman"/>
          <w:lang w:val="en-GB"/>
        </w:rPr>
        <w:t>the category of race was inflected through biological concepts of pollution and purity. Physicians</w:t>
      </w:r>
      <w:r>
        <w:rPr>
          <w:rFonts w:ascii="Garamond" w:hAnsi="Garamond" w:cs="Times New Roman"/>
          <w:lang w:val="en-GB"/>
        </w:rPr>
        <w:t xml:space="preserve"> </w:t>
      </w:r>
      <w:r w:rsidR="003B1EB1" w:rsidRPr="00765407">
        <w:rPr>
          <w:rFonts w:ascii="Garamond" w:hAnsi="Garamond" w:cs="Times New Roman"/>
          <w:lang w:val="en-GB"/>
        </w:rPr>
        <w:t xml:space="preserve">recommended that </w:t>
      </w:r>
      <w:r w:rsidR="003B1EB1" w:rsidRPr="00765407">
        <w:rPr>
          <w:rFonts w:ascii="Garamond" w:hAnsi="Garamond" w:cs="Times New Roman"/>
          <w:lang w:val="en-GB"/>
        </w:rPr>
        <w:t xml:space="preserve">those </w:t>
      </w:r>
      <w:r w:rsidR="003B1EB1" w:rsidRPr="00765407">
        <w:rPr>
          <w:rFonts w:ascii="Garamond" w:hAnsi="Garamond" w:cs="Times New Roman"/>
          <w:lang w:val="en-GB"/>
        </w:rPr>
        <w:t xml:space="preserve">travelling and living in the French Antilles eschew </w:t>
      </w:r>
      <w:r>
        <w:rPr>
          <w:rFonts w:ascii="Garamond" w:hAnsi="Garamond" w:cs="Times New Roman"/>
          <w:lang w:val="en-GB"/>
        </w:rPr>
        <w:t xml:space="preserve">any </w:t>
      </w:r>
      <w:r w:rsidR="003B1EB1" w:rsidRPr="00765407">
        <w:rPr>
          <w:rFonts w:ascii="Garamond" w:hAnsi="Garamond" w:cs="Times New Roman"/>
          <w:lang w:val="en-GB"/>
        </w:rPr>
        <w:t xml:space="preserve">physical and sexual commerce with </w:t>
      </w:r>
      <w:r w:rsidR="003B1EB1" w:rsidRPr="00765407">
        <w:rPr>
          <w:rFonts w:ascii="Garamond" w:hAnsi="Garamond" w:cs="Times New Roman"/>
          <w:lang w:val="en-GB"/>
        </w:rPr>
        <w:t xml:space="preserve">slaves, considering their bodies </w:t>
      </w:r>
      <w:r w:rsidR="003B1EB1" w:rsidRPr="00765407">
        <w:rPr>
          <w:rFonts w:ascii="Garamond" w:hAnsi="Garamond" w:cs="Times New Roman"/>
          <w:lang w:val="en-GB"/>
        </w:rPr>
        <w:t>to be physiologically degenerate and diseased</w:t>
      </w:r>
      <w:r w:rsidR="003B1EB1" w:rsidRPr="00765407">
        <w:rPr>
          <w:rFonts w:ascii="Garamond" w:hAnsi="Garamond" w:cs="Times New Roman"/>
          <w:lang w:val="en-GB"/>
        </w:rPr>
        <w:t xml:space="preserve">, and </w:t>
      </w:r>
      <w:r>
        <w:rPr>
          <w:rFonts w:ascii="Garamond" w:hAnsi="Garamond" w:cs="Times New Roman"/>
          <w:lang w:val="en-GB"/>
        </w:rPr>
        <w:t xml:space="preserve">thus </w:t>
      </w:r>
      <w:r w:rsidR="003B1EB1" w:rsidRPr="00765407">
        <w:rPr>
          <w:rFonts w:ascii="Garamond" w:hAnsi="Garamond" w:cs="Times New Roman"/>
          <w:lang w:val="en-GB"/>
        </w:rPr>
        <w:t>capable of infecting and polluting the white body</w:t>
      </w:r>
      <w:r w:rsidR="003B1EB1" w:rsidRPr="00765407">
        <w:rPr>
          <w:rFonts w:ascii="Garamond" w:hAnsi="Garamond" w:cs="Times New Roman"/>
          <w:lang w:val="en-GB"/>
        </w:rPr>
        <w:t>.</w:t>
      </w:r>
      <w:r w:rsidR="003B1EB1" w:rsidRPr="00765407">
        <w:rPr>
          <w:rStyle w:val="FootnoteReference"/>
          <w:rFonts w:ascii="Garamond" w:hAnsi="Garamond" w:cs="Times New Roman"/>
          <w:lang w:val="en-GB"/>
        </w:rPr>
        <w:footnoteReference w:id="69"/>
      </w:r>
      <w:r w:rsidR="003B1EB1" w:rsidRPr="00765407">
        <w:rPr>
          <w:rFonts w:ascii="Garamond" w:hAnsi="Garamond" w:cs="Times New Roman"/>
          <w:lang w:val="en-GB"/>
        </w:rPr>
        <w:t xml:space="preserve"> </w:t>
      </w:r>
      <w:r w:rsidR="008B0182">
        <w:rPr>
          <w:rFonts w:ascii="Garamond" w:hAnsi="Garamond" w:cs="Times New Roman"/>
          <w:lang w:val="en-GB"/>
        </w:rPr>
        <w:t xml:space="preserve">As George Yancy argues, </w:t>
      </w:r>
      <w:r w:rsidR="008B0182" w:rsidRPr="00765407">
        <w:rPr>
          <w:rFonts w:ascii="Garamond" w:hAnsi="Garamond" w:cs="Times New Roman"/>
          <w:lang w:val="en-GB"/>
        </w:rPr>
        <w:t xml:space="preserve">the historical matrix </w:t>
      </w:r>
      <w:r w:rsidR="008B0182" w:rsidRPr="00765407">
        <w:rPr>
          <w:rFonts w:ascii="Garamond" w:hAnsi="Garamond" w:cs="Times New Roman"/>
          <w:lang w:val="en-GB"/>
        </w:rPr>
        <w:lastRenderedPageBreak/>
        <w:t>of white supremac</w:t>
      </w:r>
      <w:r w:rsidR="008B0182">
        <w:rPr>
          <w:rFonts w:ascii="Garamond" w:hAnsi="Garamond" w:cs="Times New Roman"/>
          <w:lang w:val="en-GB"/>
        </w:rPr>
        <w:t>y</w:t>
      </w:r>
      <w:r w:rsidR="008B0182" w:rsidRPr="00765407">
        <w:rPr>
          <w:rFonts w:ascii="Garamond" w:hAnsi="Garamond" w:cs="Times New Roman"/>
          <w:lang w:val="en-GB"/>
        </w:rPr>
        <w:t xml:space="preserve"> presents itself “in the white body’s modes of engagement</w:t>
      </w:r>
      <w:r w:rsidR="008B0182">
        <w:rPr>
          <w:rFonts w:ascii="Garamond" w:hAnsi="Garamond" w:cs="Times New Roman"/>
          <w:lang w:val="en-GB"/>
        </w:rPr>
        <w:t xml:space="preserve">.” As white bodies are affectively habituated to react with </w:t>
      </w:r>
      <w:r w:rsidR="008B0182" w:rsidRPr="00765407">
        <w:rPr>
          <w:rFonts w:ascii="Garamond" w:hAnsi="Garamond" w:cs="Times New Roman"/>
          <w:lang w:val="en-GB"/>
        </w:rPr>
        <w:t>discomfort, revulsion, and disgust in the proximity of black bodies</w:t>
      </w:r>
      <w:r w:rsidR="008B0182">
        <w:rPr>
          <w:rFonts w:ascii="Garamond" w:hAnsi="Garamond" w:cs="Times New Roman"/>
          <w:lang w:val="en-GB"/>
        </w:rPr>
        <w:t>.</w:t>
      </w:r>
      <w:r w:rsidR="003D08A2" w:rsidRPr="00765407">
        <w:rPr>
          <w:rStyle w:val="FootnoteReference"/>
          <w:rFonts w:ascii="Garamond" w:hAnsi="Garamond" w:cs="Times New Roman"/>
          <w:lang w:val="en-GB"/>
        </w:rPr>
        <w:footnoteReference w:id="70"/>
      </w:r>
      <w:r w:rsidR="003D08A2" w:rsidRPr="00765407">
        <w:rPr>
          <w:rFonts w:ascii="Garamond" w:hAnsi="Garamond" w:cs="Times New Roman"/>
          <w:lang w:val="en-GB"/>
        </w:rPr>
        <w:t xml:space="preserve"> </w:t>
      </w:r>
      <w:r w:rsidR="008B0182">
        <w:rPr>
          <w:rFonts w:ascii="Garamond" w:hAnsi="Garamond" w:cs="Times New Roman"/>
          <w:lang w:val="en-GB"/>
        </w:rPr>
        <w:t>White supremacy</w:t>
      </w:r>
      <w:r w:rsidR="003D08A2" w:rsidRPr="00765407">
        <w:rPr>
          <w:rFonts w:ascii="Garamond" w:hAnsi="Garamond" w:cs="Times New Roman"/>
          <w:lang w:val="en-GB"/>
        </w:rPr>
        <w:t xml:space="preserve">, on Yancy’s view, </w:t>
      </w:r>
      <w:r w:rsidR="008B0182">
        <w:rPr>
          <w:rFonts w:ascii="Garamond" w:hAnsi="Garamond" w:cs="Times New Roman"/>
          <w:lang w:val="en-GB"/>
        </w:rPr>
        <w:t xml:space="preserve">thus </w:t>
      </w:r>
      <w:r w:rsidR="003B1EB1" w:rsidRPr="00765407">
        <w:rPr>
          <w:rFonts w:ascii="Garamond" w:hAnsi="Garamond" w:cs="Times New Roman"/>
          <w:lang w:val="en-GB"/>
        </w:rPr>
        <w:t xml:space="preserve">operates </w:t>
      </w:r>
      <w:r w:rsidR="003D08A2" w:rsidRPr="00765407">
        <w:rPr>
          <w:rFonts w:ascii="Garamond" w:hAnsi="Garamond" w:cs="Times New Roman"/>
          <w:lang w:val="en-GB"/>
        </w:rPr>
        <w:t xml:space="preserve">as </w:t>
      </w:r>
      <w:r w:rsidR="00E677D1" w:rsidRPr="00765407">
        <w:rPr>
          <w:rFonts w:ascii="Garamond" w:hAnsi="Garamond" w:cs="Times New Roman"/>
          <w:lang w:val="en-GB"/>
        </w:rPr>
        <w:t xml:space="preserve">a relationship of </w:t>
      </w:r>
      <w:r w:rsidR="003D08A2" w:rsidRPr="00765407">
        <w:rPr>
          <w:rFonts w:ascii="Garamond" w:hAnsi="Garamond" w:cs="Times New Roman"/>
          <w:lang w:val="en-GB"/>
        </w:rPr>
        <w:t xml:space="preserve">bodily </w:t>
      </w:r>
      <w:r w:rsidR="00E677D1" w:rsidRPr="00765407">
        <w:rPr>
          <w:rFonts w:ascii="Garamond" w:hAnsi="Garamond" w:cs="Times New Roman"/>
          <w:lang w:val="en-GB"/>
        </w:rPr>
        <w:t>affect</w:t>
      </w:r>
      <w:r w:rsidR="003B1EB1" w:rsidRPr="00765407">
        <w:rPr>
          <w:rFonts w:ascii="Garamond" w:hAnsi="Garamond" w:cs="Times New Roman"/>
          <w:lang w:val="en-GB"/>
        </w:rPr>
        <w:t xml:space="preserve"> organizing relations of proximity and distance</w:t>
      </w:r>
      <w:r w:rsidR="008B0182">
        <w:rPr>
          <w:rFonts w:ascii="Garamond" w:hAnsi="Garamond" w:cs="Times New Roman"/>
          <w:lang w:val="en-GB"/>
        </w:rPr>
        <w:t>, and w</w:t>
      </w:r>
      <w:r w:rsidR="008F3804" w:rsidRPr="00765407">
        <w:rPr>
          <w:rFonts w:ascii="Garamond" w:hAnsi="Garamond" w:cs="Times New Roman"/>
          <w:lang w:val="en-GB"/>
        </w:rPr>
        <w:t>ithin the</w:t>
      </w:r>
      <w:r w:rsidR="008B0182">
        <w:rPr>
          <w:rFonts w:ascii="Garamond" w:hAnsi="Garamond" w:cs="Times New Roman"/>
          <w:lang w:val="en-GB"/>
        </w:rPr>
        <w:t xml:space="preserve"> </w:t>
      </w:r>
      <w:r w:rsidR="003B1EB1" w:rsidRPr="00765407">
        <w:rPr>
          <w:rFonts w:ascii="Garamond" w:hAnsi="Garamond" w:cs="Times New Roman"/>
          <w:lang w:val="en-GB"/>
        </w:rPr>
        <w:t>corporeal architecture of</w:t>
      </w:r>
      <w:r w:rsidR="008F3804" w:rsidRPr="00765407">
        <w:rPr>
          <w:rFonts w:ascii="Garamond" w:hAnsi="Garamond" w:cs="Times New Roman"/>
          <w:lang w:val="en-GB"/>
        </w:rPr>
        <w:t xml:space="preserve"> </w:t>
      </w:r>
      <w:r w:rsidR="003B1EB1" w:rsidRPr="00765407">
        <w:rPr>
          <w:rFonts w:ascii="Garamond" w:hAnsi="Garamond" w:cs="Times New Roman"/>
          <w:lang w:val="en-GB"/>
        </w:rPr>
        <w:t>colonialism</w:t>
      </w:r>
      <w:r w:rsidR="008F3804" w:rsidRPr="00765407">
        <w:rPr>
          <w:rFonts w:ascii="Garamond" w:hAnsi="Garamond" w:cs="Times New Roman"/>
          <w:lang w:val="en-GB"/>
        </w:rPr>
        <w:t xml:space="preserve">, these relations were </w:t>
      </w:r>
      <w:r w:rsidR="003B1EB1" w:rsidRPr="00765407">
        <w:rPr>
          <w:rFonts w:ascii="Garamond" w:hAnsi="Garamond" w:cs="Times New Roman"/>
          <w:lang w:val="en-GB"/>
        </w:rPr>
        <w:t xml:space="preserve">juridically enforced through laws </w:t>
      </w:r>
      <w:r w:rsidR="003E27C4" w:rsidRPr="00765407">
        <w:rPr>
          <w:rFonts w:ascii="Garamond" w:hAnsi="Garamond" w:cs="Times New Roman"/>
          <w:lang w:val="en-GB"/>
        </w:rPr>
        <w:t xml:space="preserve">against miscegenation </w:t>
      </w:r>
      <w:r w:rsidR="008F3804" w:rsidRPr="00765407">
        <w:rPr>
          <w:rFonts w:ascii="Garamond" w:hAnsi="Garamond" w:cs="Times New Roman"/>
          <w:lang w:val="en-GB"/>
        </w:rPr>
        <w:t xml:space="preserve">and intermixing </w:t>
      </w:r>
      <w:r w:rsidR="003E27C4" w:rsidRPr="00765407">
        <w:rPr>
          <w:rFonts w:ascii="Garamond" w:hAnsi="Garamond" w:cs="Times New Roman"/>
          <w:lang w:val="en-GB"/>
        </w:rPr>
        <w:t xml:space="preserve">and the </w:t>
      </w:r>
      <w:r w:rsidR="008F3804" w:rsidRPr="00765407">
        <w:rPr>
          <w:rFonts w:ascii="Garamond" w:hAnsi="Garamond" w:cs="Times New Roman"/>
          <w:lang w:val="en-GB"/>
        </w:rPr>
        <w:t xml:space="preserve">separation and segregation </w:t>
      </w:r>
      <w:r w:rsidR="003E27C4" w:rsidRPr="00765407">
        <w:rPr>
          <w:rFonts w:ascii="Garamond" w:hAnsi="Garamond" w:cs="Times New Roman"/>
          <w:lang w:val="en-GB"/>
        </w:rPr>
        <w:t xml:space="preserve">of </w:t>
      </w:r>
      <w:r w:rsidR="008B0182">
        <w:rPr>
          <w:rFonts w:ascii="Garamond" w:hAnsi="Garamond" w:cs="Times New Roman"/>
          <w:lang w:val="en-GB"/>
        </w:rPr>
        <w:t xml:space="preserve">living quarters, </w:t>
      </w:r>
      <w:r w:rsidR="008F3804" w:rsidRPr="00765407">
        <w:rPr>
          <w:rFonts w:ascii="Garamond" w:hAnsi="Garamond" w:cs="Times New Roman"/>
          <w:lang w:val="en-GB"/>
        </w:rPr>
        <w:t xml:space="preserve">state </w:t>
      </w:r>
      <w:r w:rsidR="003E27C4" w:rsidRPr="00765407">
        <w:rPr>
          <w:rFonts w:ascii="Garamond" w:hAnsi="Garamond" w:cs="Times New Roman"/>
          <w:lang w:val="en-GB"/>
        </w:rPr>
        <w:t xml:space="preserve">services, and spaces of sociality. </w:t>
      </w:r>
    </w:p>
    <w:p w14:paraId="5B0F71D6" w14:textId="2E025178" w:rsidR="00BA472B" w:rsidRPr="00765407" w:rsidRDefault="003E27C4" w:rsidP="00BA472B">
      <w:pPr>
        <w:spacing w:line="360" w:lineRule="auto"/>
        <w:ind w:firstLine="720"/>
        <w:jc w:val="both"/>
        <w:rPr>
          <w:rFonts w:ascii="Garamond" w:hAnsi="Garamond"/>
        </w:rPr>
      </w:pPr>
      <w:r w:rsidRPr="00765407">
        <w:rPr>
          <w:rFonts w:ascii="Garamond" w:hAnsi="Garamond" w:cs="Times New Roman"/>
          <w:lang w:val="en-GB"/>
        </w:rPr>
        <w:t xml:space="preserve">According to Yancy, </w:t>
      </w:r>
      <w:r w:rsidR="003D08A2" w:rsidRPr="00765407">
        <w:rPr>
          <w:rFonts w:ascii="Garamond" w:hAnsi="Garamond" w:cs="Times New Roman"/>
          <w:lang w:val="en-GB"/>
        </w:rPr>
        <w:t xml:space="preserve">an alternative </w:t>
      </w:r>
      <w:r w:rsidR="003D08A2" w:rsidRPr="00765407">
        <w:rPr>
          <w:rFonts w:ascii="Garamond" w:hAnsi="Garamond" w:cs="Times New Roman"/>
          <w:lang w:val="en-GB"/>
        </w:rPr>
        <w:t>anti-racist practice</w:t>
      </w:r>
      <w:r w:rsidRPr="00765407">
        <w:rPr>
          <w:rFonts w:ascii="Garamond" w:hAnsi="Garamond" w:cs="Times New Roman"/>
          <w:lang w:val="en-GB"/>
        </w:rPr>
        <w:t xml:space="preserve"> </w:t>
      </w:r>
      <w:r w:rsidR="003D08A2" w:rsidRPr="00765407">
        <w:rPr>
          <w:rFonts w:ascii="Garamond" w:hAnsi="Garamond" w:cs="Times New Roman"/>
          <w:lang w:val="en-GB"/>
        </w:rPr>
        <w:t>would require “</w:t>
      </w:r>
      <w:r w:rsidR="003D08A2" w:rsidRPr="00765407">
        <w:rPr>
          <w:rFonts w:ascii="Garamond" w:hAnsi="Garamond"/>
        </w:rPr>
        <w:t>a radically different</w:t>
      </w:r>
      <w:r w:rsidR="003D08A2" w:rsidRPr="00765407">
        <w:rPr>
          <w:rFonts w:ascii="Garamond" w:hAnsi="Garamond"/>
        </w:rPr>
        <w:t xml:space="preserve"> </w:t>
      </w:r>
      <w:r w:rsidR="003D08A2" w:rsidRPr="00765407">
        <w:rPr>
          <w:rFonts w:ascii="Garamond" w:hAnsi="Garamond"/>
        </w:rPr>
        <w:t>aesthetics of dwelling, of being-in-the-world, of being near, a</w:t>
      </w:r>
      <w:r w:rsidR="003D08A2" w:rsidRPr="00765407">
        <w:rPr>
          <w:rFonts w:ascii="Garamond" w:hAnsi="Garamond"/>
        </w:rPr>
        <w:t xml:space="preserve"> </w:t>
      </w:r>
      <w:r w:rsidR="003D08A2" w:rsidRPr="00765407">
        <w:rPr>
          <w:rFonts w:ascii="Garamond" w:hAnsi="Garamond"/>
        </w:rPr>
        <w:t>different way or style of somatic comportment, sensing,</w:t>
      </w:r>
      <w:r w:rsidR="003D08A2" w:rsidRPr="00765407">
        <w:rPr>
          <w:rFonts w:ascii="Garamond" w:hAnsi="Garamond"/>
        </w:rPr>
        <w:t xml:space="preserve"> </w:t>
      </w:r>
      <w:r w:rsidR="003D08A2" w:rsidRPr="00765407">
        <w:rPr>
          <w:rFonts w:ascii="Garamond" w:hAnsi="Garamond"/>
        </w:rPr>
        <w:t>feeling, emoting, perceiving</w:t>
      </w:r>
      <w:r w:rsidR="003D08A2" w:rsidRPr="00765407">
        <w:rPr>
          <w:rFonts w:ascii="Garamond" w:hAnsi="Garamond"/>
        </w:rPr>
        <w:t xml:space="preserve"> … </w:t>
      </w:r>
      <w:r w:rsidR="003D08A2" w:rsidRPr="00765407">
        <w:rPr>
          <w:rFonts w:ascii="Garamond" w:hAnsi="Garamond"/>
        </w:rPr>
        <w:t>where the body, in this case, the white</w:t>
      </w:r>
      <w:r w:rsidR="003D08A2" w:rsidRPr="00765407">
        <w:rPr>
          <w:rFonts w:ascii="Garamond" w:hAnsi="Garamond"/>
        </w:rPr>
        <w:t xml:space="preserve"> </w:t>
      </w:r>
      <w:r w:rsidR="003D08A2" w:rsidRPr="00765407">
        <w:rPr>
          <w:rFonts w:ascii="Garamond" w:hAnsi="Garamond"/>
        </w:rPr>
        <w:t>body, is already exposed to the touch of the Black body;</w:t>
      </w:r>
      <w:r w:rsidR="003D08A2" w:rsidRPr="00765407">
        <w:rPr>
          <w:rFonts w:ascii="Garamond" w:hAnsi="Garamond"/>
        </w:rPr>
        <w:t xml:space="preserve"> </w:t>
      </w:r>
      <w:r w:rsidR="003D08A2" w:rsidRPr="00765407">
        <w:rPr>
          <w:rFonts w:ascii="Garamond" w:hAnsi="Garamond"/>
        </w:rPr>
        <w:t xml:space="preserve">indeed, where they are already </w:t>
      </w:r>
      <w:r w:rsidR="003D08A2" w:rsidRPr="00765407">
        <w:rPr>
          <w:rFonts w:ascii="Garamond" w:hAnsi="Garamond"/>
          <w:i/>
          <w:iCs/>
        </w:rPr>
        <w:t>touching</w:t>
      </w:r>
      <w:r w:rsidR="003D08A2" w:rsidRPr="00765407">
        <w:rPr>
          <w:rFonts w:ascii="Garamond" w:hAnsi="Garamond"/>
        </w:rPr>
        <w:t>.</w:t>
      </w:r>
      <w:r w:rsidR="003D08A2" w:rsidRPr="00765407">
        <w:rPr>
          <w:rFonts w:ascii="Garamond" w:hAnsi="Garamond"/>
        </w:rPr>
        <w:t>”</w:t>
      </w:r>
      <w:r w:rsidR="003D08A2" w:rsidRPr="00765407">
        <w:rPr>
          <w:rStyle w:val="FootnoteReference"/>
          <w:rFonts w:ascii="Garamond" w:hAnsi="Garamond"/>
        </w:rPr>
        <w:footnoteReference w:id="71"/>
      </w:r>
      <w:r w:rsidR="003D08A2" w:rsidRPr="00765407">
        <w:rPr>
          <w:rFonts w:ascii="Garamond" w:hAnsi="Garamond"/>
        </w:rPr>
        <w:t xml:space="preserve"> Yancy</w:t>
      </w:r>
      <w:r w:rsidR="00341F45" w:rsidRPr="00765407">
        <w:rPr>
          <w:rFonts w:ascii="Garamond" w:hAnsi="Garamond"/>
        </w:rPr>
        <w:t>’s</w:t>
      </w:r>
      <w:r w:rsidR="003D08A2" w:rsidRPr="00765407">
        <w:rPr>
          <w:rFonts w:ascii="Garamond" w:hAnsi="Garamond"/>
        </w:rPr>
        <w:t xml:space="preserve"> </w:t>
      </w:r>
      <w:r w:rsidR="008B0182">
        <w:rPr>
          <w:rFonts w:ascii="Garamond" w:hAnsi="Garamond"/>
        </w:rPr>
        <w:t>proposal</w:t>
      </w:r>
      <w:r w:rsidR="003D08A2" w:rsidRPr="00765407">
        <w:rPr>
          <w:rFonts w:ascii="Garamond" w:hAnsi="Garamond"/>
        </w:rPr>
        <w:t xml:space="preserve"> </w:t>
      </w:r>
      <w:r w:rsidR="008B0182">
        <w:rPr>
          <w:rFonts w:ascii="Garamond" w:hAnsi="Garamond"/>
        </w:rPr>
        <w:t>of</w:t>
      </w:r>
      <w:r w:rsidR="003D08A2" w:rsidRPr="00765407">
        <w:rPr>
          <w:rFonts w:ascii="Garamond" w:hAnsi="Garamond"/>
        </w:rPr>
        <w:t xml:space="preserve"> bodily relations </w:t>
      </w:r>
      <w:r w:rsidR="00341F45" w:rsidRPr="00765407">
        <w:rPr>
          <w:rFonts w:ascii="Garamond" w:hAnsi="Garamond"/>
        </w:rPr>
        <w:t xml:space="preserve">of touch and nearness as an alternative to the relationship of distance </w:t>
      </w:r>
      <w:r w:rsidR="00341F45" w:rsidRPr="00765407">
        <w:rPr>
          <w:rFonts w:ascii="Garamond" w:hAnsi="Garamond"/>
        </w:rPr>
        <w:t>requires specification</w:t>
      </w:r>
      <w:r w:rsidR="00341F45" w:rsidRPr="00765407">
        <w:rPr>
          <w:rFonts w:ascii="Garamond" w:hAnsi="Garamond"/>
        </w:rPr>
        <w:t xml:space="preserve">, however, </w:t>
      </w:r>
      <w:r w:rsidR="00341F45" w:rsidRPr="00765407">
        <w:rPr>
          <w:rFonts w:ascii="Garamond" w:hAnsi="Garamond"/>
        </w:rPr>
        <w:t>as not every relation of touch is necessarily a relation of equality</w:t>
      </w:r>
      <w:r w:rsidR="00341F45" w:rsidRPr="00765407">
        <w:rPr>
          <w:rFonts w:ascii="Garamond" w:hAnsi="Garamond"/>
        </w:rPr>
        <w:t xml:space="preserve">. </w:t>
      </w:r>
      <w:r w:rsidR="00341F45" w:rsidRPr="00765407">
        <w:rPr>
          <w:rFonts w:ascii="Garamond" w:hAnsi="Garamond"/>
        </w:rPr>
        <w:t>The architecture of bodies organizing and sustaining relations of</w:t>
      </w:r>
      <w:r w:rsidR="008B0182">
        <w:rPr>
          <w:rFonts w:ascii="Garamond" w:hAnsi="Garamond"/>
        </w:rPr>
        <w:t xml:space="preserve"> </w:t>
      </w:r>
      <w:r w:rsidR="00341F45" w:rsidRPr="00765407">
        <w:rPr>
          <w:rFonts w:ascii="Garamond" w:hAnsi="Garamond"/>
        </w:rPr>
        <w:t xml:space="preserve">slavery </w:t>
      </w:r>
      <w:r w:rsidR="00F91F0D">
        <w:rPr>
          <w:rFonts w:ascii="Garamond" w:hAnsi="Garamond"/>
        </w:rPr>
        <w:t xml:space="preserve">and domination </w:t>
      </w:r>
      <w:r w:rsidR="00341F45" w:rsidRPr="00765407">
        <w:rPr>
          <w:rFonts w:ascii="Garamond" w:hAnsi="Garamond"/>
        </w:rPr>
        <w:t xml:space="preserve">did involve forms of touch, </w:t>
      </w:r>
      <w:r w:rsidR="008B0182">
        <w:rPr>
          <w:rFonts w:ascii="Garamond" w:hAnsi="Garamond"/>
        </w:rPr>
        <w:t xml:space="preserve">which could be both </w:t>
      </w:r>
      <w:r w:rsidR="00341F45" w:rsidRPr="00765407">
        <w:rPr>
          <w:rFonts w:ascii="Garamond" w:hAnsi="Garamond"/>
        </w:rPr>
        <w:t>violent</w:t>
      </w:r>
      <w:r w:rsidR="008B0182">
        <w:rPr>
          <w:rFonts w:ascii="Garamond" w:hAnsi="Garamond"/>
        </w:rPr>
        <w:t xml:space="preserve"> and ‘careful</w:t>
      </w:r>
      <w:r w:rsidR="00F91F0D">
        <w:rPr>
          <w:rFonts w:ascii="Garamond" w:hAnsi="Garamond"/>
        </w:rPr>
        <w:t>.’</w:t>
      </w:r>
      <w:r w:rsidR="008B0182">
        <w:rPr>
          <w:rFonts w:ascii="Garamond" w:hAnsi="Garamond"/>
        </w:rPr>
        <w:t xml:space="preserve"> </w:t>
      </w:r>
      <w:r w:rsidR="00341F45" w:rsidRPr="00765407">
        <w:rPr>
          <w:rFonts w:ascii="Garamond" w:hAnsi="Garamond"/>
        </w:rPr>
        <w:t xml:space="preserve">As Mark Smith argues, “For slave holders, skin and touch marked status, ownership, commodification, and paternalism.” </w:t>
      </w:r>
      <w:r w:rsidR="00341F45" w:rsidRPr="00765407">
        <w:rPr>
          <w:rFonts w:ascii="Garamond" w:hAnsi="Garamond"/>
        </w:rPr>
        <w:t>Carefully inspecting</w:t>
      </w:r>
      <w:r w:rsidR="00341F45" w:rsidRPr="00765407">
        <w:rPr>
          <w:rFonts w:ascii="Garamond" w:hAnsi="Garamond"/>
        </w:rPr>
        <w:t xml:space="preserve"> the body of a slave put on market display, for instance, was a method of pricing, of analyzing the fitness and stature of the laboring body about to be bought.</w:t>
      </w:r>
      <w:r w:rsidR="00341F45" w:rsidRPr="00765407">
        <w:rPr>
          <w:rStyle w:val="FootnoteReference"/>
          <w:rFonts w:ascii="Garamond" w:hAnsi="Garamond"/>
        </w:rPr>
        <w:footnoteReference w:id="72"/>
      </w:r>
      <w:r w:rsidR="00341F45" w:rsidRPr="00765407">
        <w:rPr>
          <w:rFonts w:ascii="Garamond" w:hAnsi="Garamond"/>
        </w:rPr>
        <w:t xml:space="preserve"> </w:t>
      </w:r>
      <w:r w:rsidR="008B0182">
        <w:rPr>
          <w:rFonts w:ascii="Garamond" w:hAnsi="Garamond"/>
        </w:rPr>
        <w:t>T</w:t>
      </w:r>
      <w:r w:rsidR="00BA472B" w:rsidRPr="00765407">
        <w:rPr>
          <w:rFonts w:ascii="Garamond" w:hAnsi="Garamond"/>
        </w:rPr>
        <w:t xml:space="preserve">he slave holder could touch but not be touched. His touch was asymmetrical and inegalitarian, and in its exercise was materialized a </w:t>
      </w:r>
      <w:r w:rsidR="00E63D5A">
        <w:rPr>
          <w:rFonts w:ascii="Garamond" w:hAnsi="Garamond"/>
        </w:rPr>
        <w:t>racial</w:t>
      </w:r>
      <w:r w:rsidR="00BA472B" w:rsidRPr="00765407">
        <w:rPr>
          <w:rFonts w:ascii="Garamond" w:hAnsi="Garamond"/>
        </w:rPr>
        <w:t xml:space="preserve"> structure </w:t>
      </w:r>
      <w:r w:rsidR="00E63D5A">
        <w:rPr>
          <w:rFonts w:ascii="Garamond" w:hAnsi="Garamond"/>
        </w:rPr>
        <w:t xml:space="preserve">that </w:t>
      </w:r>
      <w:r w:rsidR="00BA472B" w:rsidRPr="00765407">
        <w:rPr>
          <w:rFonts w:ascii="Garamond" w:hAnsi="Garamond"/>
        </w:rPr>
        <w:t xml:space="preserve">claimed the black body to be a commodity. </w:t>
      </w:r>
    </w:p>
    <w:p w14:paraId="1BC9E480" w14:textId="726B84A9" w:rsidR="00E63D5A" w:rsidRPr="00F91F0D" w:rsidRDefault="00BA472B" w:rsidP="00F91F0D">
      <w:pPr>
        <w:spacing w:line="360" w:lineRule="auto"/>
        <w:ind w:firstLine="720"/>
        <w:jc w:val="both"/>
        <w:rPr>
          <w:rFonts w:ascii="Garamond" w:hAnsi="Garamond" w:cs="Times New Roman"/>
          <w:lang w:val="en-GB"/>
        </w:rPr>
      </w:pPr>
      <w:r w:rsidRPr="00765407">
        <w:rPr>
          <w:rFonts w:ascii="Garamond" w:hAnsi="Garamond"/>
        </w:rPr>
        <w:t>If a colonial relationship operated through relations of distance and asymmetrical contact between</w:t>
      </w:r>
      <w:r w:rsidR="00E63D5A">
        <w:rPr>
          <w:rFonts w:ascii="Garamond" w:hAnsi="Garamond"/>
        </w:rPr>
        <w:t xml:space="preserve"> white and black</w:t>
      </w:r>
      <w:r w:rsidRPr="00765407">
        <w:rPr>
          <w:rFonts w:ascii="Garamond" w:hAnsi="Garamond"/>
        </w:rPr>
        <w:t xml:space="preserve"> bodies, then does the </w:t>
      </w:r>
      <w:r w:rsidRPr="00765407">
        <w:rPr>
          <w:rFonts w:ascii="Garamond" w:hAnsi="Garamond"/>
        </w:rPr>
        <w:t>fraternal kiss</w:t>
      </w:r>
      <w:r w:rsidRPr="00765407">
        <w:rPr>
          <w:rFonts w:ascii="Garamond" w:hAnsi="Garamond"/>
        </w:rPr>
        <w:t xml:space="preserve"> and e</w:t>
      </w:r>
      <w:r w:rsidRPr="00765407">
        <w:rPr>
          <w:rFonts w:ascii="Garamond" w:hAnsi="Garamond"/>
        </w:rPr>
        <w:t>mbrace</w:t>
      </w:r>
      <w:r w:rsidRPr="00765407">
        <w:rPr>
          <w:rFonts w:ascii="Garamond" w:hAnsi="Garamond"/>
        </w:rPr>
        <w:t xml:space="preserve"> shared by</w:t>
      </w:r>
      <w:r w:rsidR="00E63D5A">
        <w:rPr>
          <w:rFonts w:ascii="Garamond" w:hAnsi="Garamond"/>
        </w:rPr>
        <w:t xml:space="preserve"> </w:t>
      </w:r>
      <w:r w:rsidRPr="00765407">
        <w:rPr>
          <w:rFonts w:ascii="Garamond" w:hAnsi="Garamond"/>
        </w:rPr>
        <w:t xml:space="preserve">deputies in 1794 </w:t>
      </w:r>
      <w:r w:rsidR="00E63D5A">
        <w:rPr>
          <w:rFonts w:ascii="Garamond" w:hAnsi="Garamond"/>
        </w:rPr>
        <w:t>signal a</w:t>
      </w:r>
      <w:r w:rsidRPr="00765407">
        <w:rPr>
          <w:rFonts w:ascii="Garamond" w:hAnsi="Garamond"/>
        </w:rPr>
        <w:t xml:space="preserve"> momentary </w:t>
      </w:r>
      <w:r w:rsidR="00E63D5A">
        <w:rPr>
          <w:rFonts w:ascii="Garamond" w:hAnsi="Garamond"/>
        </w:rPr>
        <w:t>suspension</w:t>
      </w:r>
      <w:r w:rsidRPr="00765407">
        <w:rPr>
          <w:rFonts w:ascii="Garamond" w:hAnsi="Garamond"/>
        </w:rPr>
        <w:t xml:space="preserve"> of this colonial order? </w:t>
      </w:r>
      <w:r w:rsidR="00172437" w:rsidRPr="00765407">
        <w:rPr>
          <w:rFonts w:ascii="Garamond" w:hAnsi="Garamond"/>
        </w:rPr>
        <w:t>Marking the abolition of slavery, this gesture of the fraternity seems to gesture towards a</w:t>
      </w:r>
      <w:r w:rsidR="00E63D5A">
        <w:rPr>
          <w:rFonts w:ascii="Garamond" w:hAnsi="Garamond"/>
        </w:rPr>
        <w:t>n alternative</w:t>
      </w:r>
      <w:r w:rsidR="00172437" w:rsidRPr="00765407">
        <w:rPr>
          <w:rFonts w:ascii="Garamond" w:hAnsi="Garamond"/>
        </w:rPr>
        <w:t xml:space="preserve"> </w:t>
      </w:r>
      <w:r w:rsidR="00E63D5A">
        <w:rPr>
          <w:rFonts w:ascii="Garamond" w:hAnsi="Garamond"/>
        </w:rPr>
        <w:t>body</w:t>
      </w:r>
      <w:r w:rsidR="00172437" w:rsidRPr="00765407">
        <w:rPr>
          <w:rFonts w:ascii="Garamond" w:hAnsi="Garamond"/>
        </w:rPr>
        <w:t xml:space="preserve"> politic </w:t>
      </w:r>
      <w:r w:rsidR="008F3804" w:rsidRPr="00765407">
        <w:rPr>
          <w:rFonts w:ascii="Garamond" w:hAnsi="Garamond"/>
        </w:rPr>
        <w:t>defined</w:t>
      </w:r>
      <w:r w:rsidR="00172437" w:rsidRPr="00765407">
        <w:rPr>
          <w:rFonts w:ascii="Garamond" w:hAnsi="Garamond"/>
        </w:rPr>
        <w:t xml:space="preserve"> by </w:t>
      </w:r>
      <w:r w:rsidR="00E63D5A" w:rsidRPr="00765407">
        <w:rPr>
          <w:rFonts w:ascii="Garamond" w:hAnsi="Garamond"/>
        </w:rPr>
        <w:t>relations</w:t>
      </w:r>
      <w:r w:rsidR="00172437" w:rsidRPr="00765407">
        <w:rPr>
          <w:rFonts w:ascii="Garamond" w:hAnsi="Garamond"/>
        </w:rPr>
        <w:t xml:space="preserve"> of equality and reciprocity between white and black men. Like </w:t>
      </w:r>
      <w:r w:rsidR="003A4DA9" w:rsidRPr="00765407">
        <w:rPr>
          <w:rFonts w:ascii="Garamond" w:hAnsi="Garamond"/>
        </w:rPr>
        <w:t xml:space="preserve">the </w:t>
      </w:r>
      <w:r w:rsidR="008F3804" w:rsidRPr="00765407">
        <w:rPr>
          <w:rFonts w:ascii="Garamond" w:hAnsi="Garamond"/>
        </w:rPr>
        <w:t xml:space="preserve">king’s </w:t>
      </w:r>
      <w:r w:rsidR="003A4DA9" w:rsidRPr="00765407">
        <w:rPr>
          <w:rFonts w:ascii="Garamond" w:hAnsi="Garamond"/>
        </w:rPr>
        <w:t xml:space="preserve">coronation ceremony, </w:t>
      </w:r>
      <w:r w:rsidR="00172437" w:rsidRPr="00765407">
        <w:rPr>
          <w:rFonts w:ascii="Garamond" w:hAnsi="Garamond"/>
        </w:rPr>
        <w:t>it was</w:t>
      </w:r>
      <w:r w:rsidR="003A4DA9" w:rsidRPr="00765407">
        <w:rPr>
          <w:rFonts w:ascii="Garamond" w:hAnsi="Garamond"/>
        </w:rPr>
        <w:t xml:space="preserve"> ceremonial event that mark</w:t>
      </w:r>
      <w:r w:rsidR="00172437" w:rsidRPr="00765407">
        <w:rPr>
          <w:rFonts w:ascii="Garamond" w:hAnsi="Garamond"/>
        </w:rPr>
        <w:t>ed</w:t>
      </w:r>
      <w:r w:rsidR="003A4DA9" w:rsidRPr="00765407">
        <w:rPr>
          <w:rFonts w:ascii="Garamond" w:hAnsi="Garamond"/>
        </w:rPr>
        <w:t xml:space="preserve"> the beginning</w:t>
      </w:r>
      <w:r w:rsidR="00E63D5A">
        <w:rPr>
          <w:rFonts w:ascii="Garamond" w:hAnsi="Garamond"/>
        </w:rPr>
        <w:t>s</w:t>
      </w:r>
      <w:r w:rsidR="003A4DA9" w:rsidRPr="00765407">
        <w:rPr>
          <w:rFonts w:ascii="Garamond" w:hAnsi="Garamond"/>
        </w:rPr>
        <w:t xml:space="preserve"> of a new political order</w:t>
      </w:r>
      <w:r w:rsidR="00ED2E85" w:rsidRPr="00765407">
        <w:rPr>
          <w:rFonts w:ascii="Garamond" w:hAnsi="Garamond"/>
        </w:rPr>
        <w:t xml:space="preserve">. </w:t>
      </w:r>
      <w:r w:rsidR="009B6452" w:rsidRPr="00765407">
        <w:rPr>
          <w:rFonts w:ascii="Garamond" w:hAnsi="Garamond"/>
        </w:rPr>
        <w:t>In the</w:t>
      </w:r>
      <w:r w:rsidR="00F91F0D">
        <w:rPr>
          <w:rFonts w:ascii="Garamond" w:hAnsi="Garamond"/>
        </w:rPr>
        <w:t xml:space="preserve"> months</w:t>
      </w:r>
      <w:r w:rsidR="009B6452" w:rsidRPr="00765407">
        <w:rPr>
          <w:rFonts w:ascii="Garamond" w:hAnsi="Garamond"/>
        </w:rPr>
        <w:t xml:space="preserve"> following, t</w:t>
      </w:r>
      <w:r w:rsidR="009B6452" w:rsidRPr="00765407">
        <w:rPr>
          <w:rFonts w:ascii="Garamond" w:hAnsi="Garamond" w:cs="Times New Roman"/>
          <w:lang w:val="en-GB"/>
        </w:rPr>
        <w:t xml:space="preserve">his </w:t>
      </w:r>
      <w:r w:rsidR="00F91F0D">
        <w:rPr>
          <w:rFonts w:ascii="Garamond" w:hAnsi="Garamond" w:cs="Times New Roman"/>
          <w:lang w:val="en-GB"/>
        </w:rPr>
        <w:t>event</w:t>
      </w:r>
      <w:r w:rsidR="009B6452" w:rsidRPr="00765407">
        <w:rPr>
          <w:rFonts w:ascii="Garamond" w:hAnsi="Garamond" w:cs="Times New Roman"/>
          <w:lang w:val="en-GB"/>
        </w:rPr>
        <w:t xml:space="preserve"> of</w:t>
      </w:r>
      <w:r w:rsidR="00F91F0D">
        <w:rPr>
          <w:rFonts w:ascii="Garamond" w:hAnsi="Garamond" w:cs="Times New Roman"/>
          <w:lang w:val="en-GB"/>
        </w:rPr>
        <w:t xml:space="preserve"> slavery’s abolition </w:t>
      </w:r>
      <w:r w:rsidR="009B6452" w:rsidRPr="00765407">
        <w:rPr>
          <w:rFonts w:ascii="Garamond" w:hAnsi="Garamond" w:cs="Times New Roman"/>
          <w:lang w:val="en-GB"/>
        </w:rPr>
        <w:t xml:space="preserve">was </w:t>
      </w:r>
      <w:r w:rsidR="00E63D5A" w:rsidRPr="00765407">
        <w:rPr>
          <w:rFonts w:ascii="Garamond" w:hAnsi="Garamond" w:cs="Times New Roman"/>
          <w:lang w:val="en-GB"/>
        </w:rPr>
        <w:t>re-enacted</w:t>
      </w:r>
      <w:r w:rsidR="009B6452" w:rsidRPr="00765407">
        <w:rPr>
          <w:rFonts w:ascii="Garamond" w:hAnsi="Garamond" w:cs="Times New Roman"/>
          <w:lang w:val="en-GB"/>
        </w:rPr>
        <w:t xml:space="preserve"> in festivals </w:t>
      </w:r>
      <w:r w:rsidR="009B6452" w:rsidRPr="00765407">
        <w:rPr>
          <w:rFonts w:ascii="Garamond" w:hAnsi="Garamond" w:cs="Times New Roman"/>
          <w:lang w:val="en-GB"/>
        </w:rPr>
        <w:t>throughout France, as various districts theatrically re-staged the assembly’s vote to abolish slavery</w:t>
      </w:r>
      <w:r w:rsidR="009B6452" w:rsidRPr="00765407">
        <w:rPr>
          <w:rFonts w:ascii="Garamond" w:hAnsi="Garamond" w:cs="Times New Roman"/>
          <w:lang w:val="en-GB"/>
        </w:rPr>
        <w:t xml:space="preserve">, with citizens </w:t>
      </w:r>
      <w:r w:rsidR="00E63D5A">
        <w:rPr>
          <w:rFonts w:ascii="Garamond" w:hAnsi="Garamond" w:cs="Times New Roman"/>
          <w:lang w:val="en-GB"/>
        </w:rPr>
        <w:t>reciting Bellay’s</w:t>
      </w:r>
      <w:r w:rsidR="009B6452" w:rsidRPr="00765407">
        <w:rPr>
          <w:rFonts w:ascii="Garamond" w:hAnsi="Garamond" w:cs="Times New Roman"/>
          <w:lang w:val="en-GB"/>
        </w:rPr>
        <w:t xml:space="preserve"> speech </w:t>
      </w:r>
      <w:r w:rsidR="00F91F0D" w:rsidRPr="00765407">
        <w:rPr>
          <w:rFonts w:ascii="Garamond" w:hAnsi="Garamond"/>
          <w:noProof/>
        </w:rPr>
        <w:lastRenderedPageBreak/>
        <w:drawing>
          <wp:anchor distT="0" distB="0" distL="114300" distR="114300" simplePos="0" relativeHeight="251669504" behindDoc="1" locked="0" layoutInCell="1" allowOverlap="1" wp14:anchorId="2193799C" wp14:editId="0152E75C">
            <wp:simplePos x="0" y="0"/>
            <wp:positionH relativeFrom="column">
              <wp:posOffset>3115310</wp:posOffset>
            </wp:positionH>
            <wp:positionV relativeFrom="paragraph">
              <wp:posOffset>23495</wp:posOffset>
            </wp:positionV>
            <wp:extent cx="2770505" cy="4055745"/>
            <wp:effectExtent l="0" t="0" r="0" b="0"/>
            <wp:wrapTight wrapText="bothSides">
              <wp:wrapPolygon edited="0">
                <wp:start x="0" y="0"/>
                <wp:lineTo x="0" y="21509"/>
                <wp:lineTo x="21486" y="21509"/>
                <wp:lineTo x="21486" y="0"/>
                <wp:lineTo x="0" y="0"/>
              </wp:wrapPolygon>
            </wp:wrapTight>
            <wp:docPr id="4" name="Picture 4" descr="A picture containing text, book,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 old, st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0505" cy="4055745"/>
                    </a:xfrm>
                    <a:prstGeom prst="rect">
                      <a:avLst/>
                    </a:prstGeom>
                  </pic:spPr>
                </pic:pic>
              </a:graphicData>
            </a:graphic>
            <wp14:sizeRelH relativeFrom="page">
              <wp14:pctWidth>0</wp14:pctWidth>
            </wp14:sizeRelH>
            <wp14:sizeRelV relativeFrom="page">
              <wp14:pctHeight>0</wp14:pctHeight>
            </wp14:sizeRelV>
          </wp:anchor>
        </w:drawing>
      </w:r>
      <w:r w:rsidR="009B6452" w:rsidRPr="00765407">
        <w:rPr>
          <w:rFonts w:ascii="Garamond" w:hAnsi="Garamond" w:cs="Times New Roman"/>
          <w:lang w:val="en-GB"/>
        </w:rPr>
        <w:t>and</w:t>
      </w:r>
      <w:r w:rsidR="00E63D5A">
        <w:rPr>
          <w:rFonts w:ascii="Garamond" w:hAnsi="Garamond" w:cs="Times New Roman"/>
          <w:lang w:val="en-GB"/>
        </w:rPr>
        <w:t xml:space="preserve"> sharing</w:t>
      </w:r>
      <w:r w:rsidR="009B6452" w:rsidRPr="00765407">
        <w:rPr>
          <w:rFonts w:ascii="Garamond" w:hAnsi="Garamond" w:cs="Times New Roman"/>
          <w:lang w:val="en-GB"/>
        </w:rPr>
        <w:t xml:space="preserve"> “le </w:t>
      </w:r>
      <w:proofErr w:type="spellStart"/>
      <w:r w:rsidR="009B6452" w:rsidRPr="00765407">
        <w:rPr>
          <w:rFonts w:ascii="Garamond" w:hAnsi="Garamond" w:cs="Times New Roman"/>
          <w:lang w:val="en-GB"/>
        </w:rPr>
        <w:t>baiser</w:t>
      </w:r>
      <w:proofErr w:type="spellEnd"/>
      <w:r w:rsidR="009B6452" w:rsidRPr="00765407">
        <w:rPr>
          <w:rFonts w:ascii="Garamond" w:hAnsi="Garamond" w:cs="Times New Roman"/>
          <w:lang w:val="en-GB"/>
        </w:rPr>
        <w:t xml:space="preserve"> </w:t>
      </w:r>
      <w:proofErr w:type="spellStart"/>
      <w:r w:rsidR="009B6452" w:rsidRPr="00765407">
        <w:rPr>
          <w:rFonts w:ascii="Garamond" w:hAnsi="Garamond" w:cs="Times New Roman"/>
          <w:lang w:val="en-GB"/>
        </w:rPr>
        <w:t>fraternel</w:t>
      </w:r>
      <w:proofErr w:type="spellEnd"/>
      <w:r w:rsidR="009B6452" w:rsidRPr="00765407">
        <w:rPr>
          <w:rFonts w:ascii="Garamond" w:hAnsi="Garamond" w:cs="Times New Roman"/>
          <w:lang w:val="en-GB"/>
        </w:rPr>
        <w:t>” with “</w:t>
      </w:r>
      <w:proofErr w:type="spellStart"/>
      <w:r w:rsidR="009B6452" w:rsidRPr="00765407">
        <w:rPr>
          <w:rFonts w:ascii="Garamond" w:hAnsi="Garamond" w:cs="Times New Roman"/>
          <w:lang w:val="en-GB"/>
        </w:rPr>
        <w:t>nos</w:t>
      </w:r>
      <w:proofErr w:type="spellEnd"/>
      <w:r w:rsidR="009B6452" w:rsidRPr="00765407">
        <w:rPr>
          <w:rFonts w:ascii="Garamond" w:hAnsi="Garamond" w:cs="Times New Roman"/>
          <w:lang w:val="en-GB"/>
        </w:rPr>
        <w:t xml:space="preserve"> </w:t>
      </w:r>
      <w:r w:rsidR="009B6452" w:rsidRPr="00765407">
        <w:rPr>
          <w:rFonts w:ascii="Garamond" w:hAnsi="Garamond" w:cs="Times New Roman"/>
          <w:lang w:val="en-GB"/>
        </w:rPr>
        <w:t>frères de couleur</w:t>
      </w:r>
      <w:r w:rsidR="009B6452" w:rsidRPr="00765407">
        <w:rPr>
          <w:rFonts w:ascii="Garamond" w:hAnsi="Garamond" w:cs="Times New Roman"/>
          <w:lang w:val="en-GB"/>
        </w:rPr>
        <w:t xml:space="preserve"> [our brothers of colour]</w:t>
      </w:r>
      <w:r w:rsidR="00E63D5A">
        <w:rPr>
          <w:rFonts w:ascii="Garamond" w:hAnsi="Garamond" w:cs="Times New Roman"/>
          <w:lang w:val="en-GB"/>
        </w:rPr>
        <w:t>.</w:t>
      </w:r>
      <w:r w:rsidR="004D2225" w:rsidRPr="00765407">
        <w:rPr>
          <w:rFonts w:ascii="Garamond" w:hAnsi="Garamond" w:cs="Times New Roman"/>
          <w:lang w:val="en-GB"/>
        </w:rPr>
        <w:t xml:space="preserve">” </w:t>
      </w:r>
      <w:r w:rsidR="009B6452" w:rsidRPr="00765407">
        <w:rPr>
          <w:rStyle w:val="FootnoteReference"/>
          <w:rFonts w:ascii="Garamond" w:hAnsi="Garamond" w:cs="Times New Roman"/>
          <w:lang w:val="en-GB"/>
        </w:rPr>
        <w:footnoteReference w:id="73"/>
      </w:r>
      <w:r w:rsidR="004D2225" w:rsidRPr="00765407">
        <w:rPr>
          <w:rFonts w:ascii="Garamond" w:hAnsi="Garamond" w:cs="Times New Roman"/>
          <w:lang w:val="en-GB"/>
        </w:rPr>
        <w:t xml:space="preserve"> </w:t>
      </w:r>
      <w:r w:rsidR="00F91F0D" w:rsidRPr="00765407">
        <w:rPr>
          <w:rFonts w:ascii="Garamond" w:hAnsi="Garamond"/>
        </w:rPr>
        <w:t>The event was memorialized in paintings and engravings highlighting the interracial embrace as the bodily gesture of fraternity (fig. 1 &amp; 2).</w:t>
      </w:r>
      <w:r w:rsidR="00F91F0D">
        <w:rPr>
          <w:rFonts w:ascii="Garamond" w:hAnsi="Garamond" w:cs="Times New Roman"/>
          <w:lang w:val="en-GB"/>
        </w:rPr>
        <w:t xml:space="preserve"> </w:t>
      </w:r>
      <w:r w:rsidR="004D2225" w:rsidRPr="00765407">
        <w:rPr>
          <w:rFonts w:ascii="Garamond" w:hAnsi="Garamond" w:cs="Times New Roman"/>
          <w:lang w:val="en-GB"/>
        </w:rPr>
        <w:t>T</w:t>
      </w:r>
      <w:r w:rsidR="004D2225" w:rsidRPr="00765407">
        <w:rPr>
          <w:rFonts w:ascii="Garamond" w:hAnsi="Garamond" w:cs="Times New Roman"/>
          <w:lang w:val="en-GB"/>
        </w:rPr>
        <w:t xml:space="preserve">he corporeal practices </w:t>
      </w:r>
      <w:r w:rsidR="004D2225" w:rsidRPr="00765407">
        <w:rPr>
          <w:rFonts w:ascii="Garamond" w:hAnsi="Garamond" w:cs="Times New Roman"/>
          <w:lang w:val="en-GB"/>
        </w:rPr>
        <w:t xml:space="preserve">of fraternity exhibited at this event and its re-enactments </w:t>
      </w:r>
      <w:r w:rsidR="00E63D5A">
        <w:rPr>
          <w:rFonts w:ascii="Garamond" w:hAnsi="Garamond" w:cs="Times New Roman"/>
          <w:lang w:val="en-GB"/>
        </w:rPr>
        <w:t>suggest</w:t>
      </w:r>
      <w:r w:rsidR="004D2225" w:rsidRPr="00765407">
        <w:rPr>
          <w:rFonts w:ascii="Garamond" w:hAnsi="Garamond" w:cs="Times New Roman"/>
          <w:lang w:val="en-GB"/>
        </w:rPr>
        <w:t xml:space="preserve"> that </w:t>
      </w:r>
      <w:r w:rsidR="00E63D5A">
        <w:rPr>
          <w:rFonts w:ascii="Garamond" w:hAnsi="Garamond" w:cs="Times New Roman"/>
          <w:lang w:val="en-GB"/>
        </w:rPr>
        <w:t xml:space="preserve">the </w:t>
      </w:r>
      <w:r w:rsidR="004D2225" w:rsidRPr="00765407">
        <w:rPr>
          <w:rFonts w:ascii="Garamond" w:hAnsi="Garamond"/>
        </w:rPr>
        <w:t>democratic revolution did not entail the dis-incorporation of individuals</w:t>
      </w:r>
      <w:r w:rsidR="00E63D5A">
        <w:rPr>
          <w:rFonts w:ascii="Garamond" w:hAnsi="Garamond"/>
        </w:rPr>
        <w:t xml:space="preserve"> but </w:t>
      </w:r>
      <w:r w:rsidR="004D2225" w:rsidRPr="00765407">
        <w:rPr>
          <w:rFonts w:ascii="Garamond" w:hAnsi="Garamond"/>
        </w:rPr>
        <w:t>their re-incorporation</w:t>
      </w:r>
      <w:r w:rsidR="004D2225" w:rsidRPr="00765407">
        <w:rPr>
          <w:rFonts w:ascii="Garamond" w:hAnsi="Garamond"/>
        </w:rPr>
        <w:t xml:space="preserve">. Slavery’s abolition remade the </w:t>
      </w:r>
      <w:r w:rsidR="004D2225" w:rsidRPr="00765407">
        <w:rPr>
          <w:rFonts w:ascii="Garamond" w:hAnsi="Garamond"/>
        </w:rPr>
        <w:t>relationship between the body politic and the natural bodies that constituted it</w:t>
      </w:r>
      <w:r w:rsidR="00F91F0D">
        <w:rPr>
          <w:rFonts w:ascii="Garamond" w:hAnsi="Garamond"/>
        </w:rPr>
        <w:t xml:space="preserve">. The new egalitarian body politic heralded by this event was </w:t>
      </w:r>
      <w:r w:rsidR="004D2225" w:rsidRPr="00765407">
        <w:rPr>
          <w:rFonts w:ascii="Garamond" w:hAnsi="Garamond"/>
        </w:rPr>
        <w:t xml:space="preserve">realized in through the </w:t>
      </w:r>
      <w:r w:rsidR="00F91F0D">
        <w:rPr>
          <w:rFonts w:ascii="Garamond" w:hAnsi="Garamond"/>
        </w:rPr>
        <w:t>reciprocal</w:t>
      </w:r>
      <w:r w:rsidR="004D2225" w:rsidRPr="00765407">
        <w:rPr>
          <w:rFonts w:ascii="Garamond" w:hAnsi="Garamond"/>
        </w:rPr>
        <w:t xml:space="preserve"> gestures of men’s bodies</w:t>
      </w:r>
      <w:r w:rsidR="00F91F0D">
        <w:rPr>
          <w:rFonts w:ascii="Garamond" w:hAnsi="Garamond"/>
        </w:rPr>
        <w:t xml:space="preserve">. However, this project of transformation </w:t>
      </w:r>
      <w:r w:rsidR="00F91F0D" w:rsidRPr="00765407">
        <w:rPr>
          <w:rFonts w:ascii="Garamond" w:hAnsi="Garamond"/>
          <w:noProof/>
        </w:rPr>
        <mc:AlternateContent>
          <mc:Choice Requires="wps">
            <w:drawing>
              <wp:anchor distT="0" distB="0" distL="114300" distR="114300" simplePos="0" relativeHeight="251670528" behindDoc="0" locked="0" layoutInCell="1" allowOverlap="1" wp14:anchorId="2DF0D96D" wp14:editId="0D46F000">
                <wp:simplePos x="0" y="0"/>
                <wp:positionH relativeFrom="column">
                  <wp:posOffset>3112061</wp:posOffset>
                </wp:positionH>
                <wp:positionV relativeFrom="paragraph">
                  <wp:posOffset>3776661</wp:posOffset>
                </wp:positionV>
                <wp:extent cx="3076190" cy="248024"/>
                <wp:effectExtent l="0" t="0" r="10160" b="19050"/>
                <wp:wrapNone/>
                <wp:docPr id="7" name="Text Box 7"/>
                <wp:cNvGraphicFramePr/>
                <a:graphic xmlns:a="http://schemas.openxmlformats.org/drawingml/2006/main">
                  <a:graphicData uri="http://schemas.microsoft.com/office/word/2010/wordprocessingShape">
                    <wps:wsp>
                      <wps:cNvSpPr txBox="1"/>
                      <wps:spPr>
                        <a:xfrm>
                          <a:off x="0" y="0"/>
                          <a:ext cx="3076190" cy="248024"/>
                        </a:xfrm>
                        <a:prstGeom prst="rect">
                          <a:avLst/>
                        </a:prstGeom>
                        <a:solidFill>
                          <a:schemeClr val="lt1"/>
                        </a:solidFill>
                        <a:ln w="6350">
                          <a:solidFill>
                            <a:prstClr val="black"/>
                          </a:solidFill>
                        </a:ln>
                      </wps:spPr>
                      <wps:txbx>
                        <w:txbxContent>
                          <w:p w14:paraId="1C285D06" w14:textId="77777777" w:rsidR="004121C6" w:rsidRPr="004121C6" w:rsidRDefault="004121C6">
                            <w:pPr>
                              <w:rPr>
                                <w:rFonts w:ascii="Garamond" w:hAnsi="Garamond"/>
                                <w:sz w:val="18"/>
                                <w:szCs w:val="18"/>
                                <w:lang w:val="fr-CA"/>
                              </w:rPr>
                            </w:pPr>
                            <w:r w:rsidRPr="004121C6">
                              <w:rPr>
                                <w:rFonts w:ascii="Garamond" w:hAnsi="Garamond"/>
                                <w:sz w:val="18"/>
                                <w:szCs w:val="18"/>
                                <w:lang w:val="fr-CA"/>
                              </w:rPr>
                              <w:t xml:space="preserve">Duchemin, </w:t>
                            </w:r>
                            <w:r w:rsidRPr="004121C6">
                              <w:rPr>
                                <w:rFonts w:ascii="Garamond" w:hAnsi="Garamond"/>
                                <w:sz w:val="18"/>
                                <w:szCs w:val="18"/>
                                <w:lang w:val="fr-CA"/>
                              </w:rPr>
                              <w:t>Musée Carnavalet, Histoire de Paris</w:t>
                            </w:r>
                            <w:r>
                              <w:rPr>
                                <w:rFonts w:ascii="Garamond" w:hAnsi="Garamond"/>
                                <w:sz w:val="18"/>
                                <w:szCs w:val="18"/>
                                <w:lang w:val="fr-CA"/>
                              </w:rPr>
                              <w:t xml:space="preserve"> (1794), </w:t>
                            </w:r>
                            <w:r w:rsidRPr="004121C6">
                              <w:rPr>
                                <w:rFonts w:ascii="Garamond" w:hAnsi="Garamond"/>
                                <w:sz w:val="18"/>
                                <w:szCs w:val="18"/>
                                <w:lang w:val="fr-CA"/>
                              </w:rPr>
                              <w:t>G.23468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0D96D" id="_x0000_t202" coordsize="21600,21600" o:spt="202" path="m,l,21600r21600,l21600,xe">
                <v:stroke joinstyle="miter"/>
                <v:path gradientshapeok="t" o:connecttype="rect"/>
              </v:shapetype>
              <v:shape id="Text Box 7" o:spid="_x0000_s1026" type="#_x0000_t202" style="position:absolute;left:0;text-align:left;margin-left:245.05pt;margin-top:297.35pt;width:242.2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" fillcolor="white [3201]" strokeweight=".5pt">
                <v:textbox>
                  <w:txbxContent>
                    <w:p w14:paraId="1C285D06" w14:textId="77777777" w:rsidR="004121C6" w:rsidRPr="004121C6" w:rsidRDefault="004121C6">
                      <w:pPr>
                        <w:rPr>
                          <w:rFonts w:ascii="Garamond" w:hAnsi="Garamond"/>
                          <w:sz w:val="18"/>
                          <w:szCs w:val="18"/>
                          <w:lang w:val="fr-CA"/>
                        </w:rPr>
                      </w:pPr>
                      <w:r w:rsidRPr="004121C6">
                        <w:rPr>
                          <w:rFonts w:ascii="Garamond" w:hAnsi="Garamond"/>
                          <w:sz w:val="18"/>
                          <w:szCs w:val="18"/>
                          <w:lang w:val="fr-CA"/>
                        </w:rPr>
                        <w:t xml:space="preserve">Duchemin, </w:t>
                      </w:r>
                      <w:r w:rsidRPr="004121C6">
                        <w:rPr>
                          <w:rFonts w:ascii="Garamond" w:hAnsi="Garamond"/>
                          <w:sz w:val="18"/>
                          <w:szCs w:val="18"/>
                          <w:lang w:val="fr-CA"/>
                        </w:rPr>
                        <w:t>Musée Carnavalet, Histoire de Paris</w:t>
                      </w:r>
                      <w:r>
                        <w:rPr>
                          <w:rFonts w:ascii="Garamond" w:hAnsi="Garamond"/>
                          <w:sz w:val="18"/>
                          <w:szCs w:val="18"/>
                          <w:lang w:val="fr-CA"/>
                        </w:rPr>
                        <w:t xml:space="preserve"> (1794), </w:t>
                      </w:r>
                      <w:r w:rsidRPr="004121C6">
                        <w:rPr>
                          <w:rFonts w:ascii="Garamond" w:hAnsi="Garamond"/>
                          <w:sz w:val="18"/>
                          <w:szCs w:val="18"/>
                          <w:lang w:val="fr-CA"/>
                        </w:rPr>
                        <w:t>G.23468</w:t>
                      </w:r>
                    </w:p>
                  </w:txbxContent>
                </v:textbox>
              </v:shape>
            </w:pict>
          </mc:Fallback>
        </mc:AlternateContent>
      </w:r>
      <w:r w:rsidR="00F91F0D">
        <w:rPr>
          <w:rFonts w:ascii="Garamond" w:hAnsi="Garamond"/>
        </w:rPr>
        <w:t xml:space="preserve">was ultimately cut short, </w:t>
      </w:r>
      <w:r w:rsidR="004D2225" w:rsidRPr="00765407">
        <w:rPr>
          <w:rFonts w:ascii="Garamond" w:hAnsi="Garamond" w:cs="Times New Roman"/>
          <w:lang w:val="en-GB"/>
        </w:rPr>
        <w:t xml:space="preserve">as </w:t>
      </w:r>
      <w:r w:rsidR="004D2225" w:rsidRPr="00765407">
        <w:rPr>
          <w:rFonts w:ascii="Garamond" w:hAnsi="Garamond"/>
        </w:rPr>
        <w:t>Napoleon re-established slavery in 1802.</w:t>
      </w:r>
      <w:r w:rsidR="004D2225" w:rsidRPr="00765407">
        <w:rPr>
          <w:rStyle w:val="FootnoteReference"/>
          <w:rFonts w:ascii="Garamond" w:hAnsi="Garamond"/>
        </w:rPr>
        <w:footnoteReference w:id="74"/>
      </w:r>
    </w:p>
    <w:p w14:paraId="6803E009" w14:textId="7FBD92C2" w:rsidR="0090120A" w:rsidRPr="00E63D5A" w:rsidRDefault="0090120A" w:rsidP="00E63D5A">
      <w:pPr>
        <w:spacing w:line="360" w:lineRule="auto"/>
        <w:ind w:firstLine="720"/>
        <w:jc w:val="both"/>
        <w:rPr>
          <w:rFonts w:ascii="Garamond" w:hAnsi="Garamond"/>
          <w:lang w:val="en-GB"/>
        </w:rPr>
      </w:pPr>
      <w:r w:rsidRPr="00765407">
        <w:rPr>
          <w:rFonts w:ascii="Garamond" w:hAnsi="Garamond"/>
          <w:color w:val="000000" w:themeColor="text1"/>
          <w:shd w:val="clear" w:color="auto" w:fill="FFFEFB"/>
        </w:rPr>
        <w:t xml:space="preserve">The emergence of democracy did indeed involve a splitting of the king’s two bodies, as the body politic was no longer incorporated in the singular body of the king. However, this split did not entail, as democratic theorists commonly presume, a more general separation between the domains of the material and the symbolic. Rather, as the grammar of incorporation indicates, the emergence of democracy meant a reconfiguration a how democratic power was incorporated with the bodies of its citizens. Alongside the repression of the bodies of certain gendered and racialized subjects, the rise of democracy also involved the reorganization of affective bodily practices as central to the constitution of new democratic relations of equality. Returning then to the starting point of this paper concerning methods, </w:t>
      </w:r>
      <w:r w:rsidR="00F47358" w:rsidRPr="00765407">
        <w:rPr>
          <w:rFonts w:ascii="Garamond" w:hAnsi="Garamond"/>
          <w:color w:val="000000" w:themeColor="text1"/>
          <w:shd w:val="clear" w:color="auto" w:fill="FFFEFB"/>
        </w:rPr>
        <w:t xml:space="preserve">intellectual </w:t>
      </w:r>
      <w:r w:rsidRPr="00765407">
        <w:rPr>
          <w:rFonts w:ascii="Garamond" w:hAnsi="Garamond" w:cs="Times New Roman"/>
        </w:rPr>
        <w:t>historians ought to attend more carefully to the political logic of bodily practice and investigate how the body itself is a site of political and intellectual contestation. To take seriously the affective practices of the body in the history of ideas thus means investigating how, alongside linguistic practice, the non-linguistic activities of the body not only articulate and constitute but, more importantly, attach individuals to and invest them in seemingly abstract philosophical ideas</w:t>
      </w:r>
      <w:r w:rsidR="00765407" w:rsidRPr="00765407">
        <w:rPr>
          <w:rFonts w:ascii="Garamond" w:hAnsi="Garamond" w:cs="Times New Roman"/>
        </w:rPr>
        <w:t xml:space="preserve"> and political structures</w:t>
      </w:r>
      <w:r w:rsidRPr="00765407">
        <w:rPr>
          <w:rFonts w:ascii="Garamond" w:hAnsi="Garamond" w:cs="Times New Roman"/>
        </w:rPr>
        <w:t xml:space="preserve">. </w:t>
      </w:r>
      <w:r w:rsidR="00765407" w:rsidRPr="00765407">
        <w:rPr>
          <w:rFonts w:ascii="Garamond" w:hAnsi="Garamond" w:cs="Times New Roman"/>
        </w:rPr>
        <w:t xml:space="preserve">Bodily practices, gestures, and affections are, </w:t>
      </w:r>
      <w:r w:rsidRPr="00765407">
        <w:rPr>
          <w:rFonts w:ascii="Garamond" w:hAnsi="Garamond" w:cs="Times New Roman"/>
        </w:rPr>
        <w:t>in short, not opposed to but in fact central to the generation of political signification and meaning.</w:t>
      </w:r>
    </w:p>
    <w:p w14:paraId="77B694E7" w14:textId="0EF8F36B" w:rsidR="00A3216C" w:rsidRPr="00765407" w:rsidRDefault="00E63D5A" w:rsidP="00FA5791">
      <w:pPr>
        <w:spacing w:line="360" w:lineRule="auto"/>
        <w:rPr>
          <w:rFonts w:ascii="Garamond" w:hAnsi="Garamond"/>
        </w:rPr>
      </w:pPr>
      <w:r w:rsidRPr="00765407">
        <w:rPr>
          <w:rFonts w:ascii="Garamond" w:hAnsi="Garamond"/>
          <w:noProof/>
        </w:rPr>
        <w:lastRenderedPageBreak/>
        <mc:AlternateContent>
          <mc:Choice Requires="wps">
            <w:drawing>
              <wp:anchor distT="0" distB="0" distL="114300" distR="114300" simplePos="0" relativeHeight="251674624" behindDoc="0" locked="0" layoutInCell="1" allowOverlap="1" wp14:anchorId="11ADB174" wp14:editId="3498AF68">
                <wp:simplePos x="0" y="0"/>
                <wp:positionH relativeFrom="column">
                  <wp:posOffset>512445</wp:posOffset>
                </wp:positionH>
                <wp:positionV relativeFrom="paragraph">
                  <wp:posOffset>5257077</wp:posOffset>
                </wp:positionV>
                <wp:extent cx="4630141" cy="359417"/>
                <wp:effectExtent l="0" t="0" r="18415" b="8890"/>
                <wp:wrapNone/>
                <wp:docPr id="3" name="Text Box 3"/>
                <wp:cNvGraphicFramePr/>
                <a:graphic xmlns:a="http://schemas.openxmlformats.org/drawingml/2006/main">
                  <a:graphicData uri="http://schemas.microsoft.com/office/word/2010/wordprocessingShape">
                    <wps:wsp>
                      <wps:cNvSpPr txBox="1"/>
                      <wps:spPr>
                        <a:xfrm>
                          <a:off x="0" y="0"/>
                          <a:ext cx="4630141" cy="359417"/>
                        </a:xfrm>
                        <a:prstGeom prst="rect">
                          <a:avLst/>
                        </a:prstGeom>
                        <a:solidFill>
                          <a:schemeClr val="lt1"/>
                        </a:solidFill>
                        <a:ln w="6350">
                          <a:solidFill>
                            <a:prstClr val="black"/>
                          </a:solidFill>
                        </a:ln>
                      </wps:spPr>
                      <wps:txbx>
                        <w:txbxContent>
                          <w:p w14:paraId="7B2AAFDB" w14:textId="77777777" w:rsidR="00E63D5A" w:rsidRPr="00F91F0D" w:rsidRDefault="00E63D5A" w:rsidP="00E63D5A">
                            <w:pPr>
                              <w:rPr>
                                <w:rFonts w:ascii="Garamond" w:hAnsi="Garamond"/>
                                <w:sz w:val="20"/>
                                <w:szCs w:val="20"/>
                                <w:u w:val="single"/>
                                <w:lang w:val="fr-CA"/>
                              </w:rPr>
                            </w:pPr>
                            <w:r w:rsidRPr="00F91F0D">
                              <w:rPr>
                                <w:rFonts w:ascii="Garamond" w:eastAsia="Times New Roman" w:hAnsi="Garamond" w:cs="Times New Roman"/>
                                <w:color w:val="222222"/>
                                <w:sz w:val="20"/>
                                <w:szCs w:val="20"/>
                                <w:shd w:val="clear" w:color="auto" w:fill="FFFFFF"/>
                                <w:lang w:val="fr-CA"/>
                              </w:rPr>
                              <w:t xml:space="preserve">Nicolas </w:t>
                            </w:r>
                            <w:proofErr w:type="spellStart"/>
                            <w:r w:rsidRPr="00F91F0D">
                              <w:rPr>
                                <w:rFonts w:ascii="Garamond" w:eastAsia="Times New Roman" w:hAnsi="Garamond" w:cs="Times New Roman"/>
                                <w:color w:val="222222"/>
                                <w:sz w:val="20"/>
                                <w:szCs w:val="20"/>
                                <w:shd w:val="clear" w:color="auto" w:fill="FFFFFF"/>
                                <w:lang w:val="fr-CA"/>
                              </w:rPr>
                              <w:t>Andre</w:t>
                            </w:r>
                            <w:proofErr w:type="spellEnd"/>
                            <w:r w:rsidRPr="00F91F0D">
                              <w:rPr>
                                <w:rFonts w:ascii="Garamond" w:eastAsia="Times New Roman" w:hAnsi="Garamond" w:cs="Times New Roman"/>
                                <w:color w:val="222222"/>
                                <w:sz w:val="20"/>
                                <w:szCs w:val="20"/>
                                <w:shd w:val="clear" w:color="auto" w:fill="FFFFFF"/>
                                <w:lang w:val="fr-CA"/>
                              </w:rPr>
                              <w:t xml:space="preserve"> </w:t>
                            </w:r>
                            <w:proofErr w:type="spellStart"/>
                            <w:r w:rsidRPr="00F91F0D">
                              <w:rPr>
                                <w:rFonts w:ascii="Garamond" w:eastAsia="Times New Roman" w:hAnsi="Garamond" w:cs="Times New Roman"/>
                                <w:color w:val="222222"/>
                                <w:sz w:val="20"/>
                                <w:szCs w:val="20"/>
                                <w:shd w:val="clear" w:color="auto" w:fill="FFFFFF"/>
                                <w:lang w:val="fr-CA"/>
                              </w:rPr>
                              <w:t>Monsiau</w:t>
                            </w:r>
                            <w:proofErr w:type="spellEnd"/>
                            <w:r w:rsidRPr="00F91F0D">
                              <w:rPr>
                                <w:rFonts w:ascii="Garamond" w:eastAsia="Times New Roman" w:hAnsi="Garamond" w:cs="Times New Roman"/>
                                <w:color w:val="222222"/>
                                <w:sz w:val="20"/>
                                <w:szCs w:val="20"/>
                                <w:shd w:val="clear" w:color="auto" w:fill="FFFFFF"/>
                                <w:lang w:val="fr-CA"/>
                              </w:rPr>
                              <w:t>,</w:t>
                            </w:r>
                            <w:r w:rsidRPr="00F91F0D">
                              <w:rPr>
                                <w:rFonts w:ascii="Garamond" w:eastAsia="Times New Roman" w:hAnsi="Garamond" w:cs="Arial"/>
                                <w:sz w:val="20"/>
                                <w:szCs w:val="20"/>
                                <w:shd w:val="clear" w:color="auto" w:fill="FFFFFF"/>
                                <w:lang w:val="fr-CA"/>
                              </w:rPr>
                              <w:t xml:space="preserve"> “</w:t>
                            </w:r>
                            <w:r w:rsidRPr="00F91F0D">
                              <w:rPr>
                                <w:rFonts w:ascii="Garamond" w:hAnsi="Garamond"/>
                                <w:sz w:val="20"/>
                                <w:szCs w:val="20"/>
                                <w:lang w:val="fr-CA"/>
                              </w:rPr>
                              <w:t>L’abolition de l’esclavage proclamé à la Convention,” (1794).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B174" id="Text Box 3" o:spid="_x0000_s1027" type="#_x0000_t202" style="position:absolute;margin-left:40.35pt;margin-top:413.95pt;width:364.6pt;height:2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" fillcolor="white [3201]" strokeweight=".5pt">
                <v:textbox>
                  <w:txbxContent>
                    <w:p w14:paraId="7B2AAFDB" w14:textId="77777777" w:rsidR="00E63D5A" w:rsidRPr="00F91F0D" w:rsidRDefault="00E63D5A" w:rsidP="00E63D5A">
                      <w:pPr>
                        <w:rPr>
                          <w:rFonts w:ascii="Garamond" w:hAnsi="Garamond"/>
                          <w:sz w:val="20"/>
                          <w:szCs w:val="20"/>
                          <w:u w:val="single"/>
                          <w:lang w:val="fr-CA"/>
                        </w:rPr>
                      </w:pPr>
                      <w:r w:rsidRPr="00F91F0D">
                        <w:rPr>
                          <w:rFonts w:ascii="Garamond" w:eastAsia="Times New Roman" w:hAnsi="Garamond" w:cs="Times New Roman"/>
                          <w:color w:val="222222"/>
                          <w:sz w:val="20"/>
                          <w:szCs w:val="20"/>
                          <w:shd w:val="clear" w:color="auto" w:fill="FFFFFF"/>
                          <w:lang w:val="fr-CA"/>
                        </w:rPr>
                        <w:t xml:space="preserve">Nicolas </w:t>
                      </w:r>
                      <w:proofErr w:type="spellStart"/>
                      <w:r w:rsidRPr="00F91F0D">
                        <w:rPr>
                          <w:rFonts w:ascii="Garamond" w:eastAsia="Times New Roman" w:hAnsi="Garamond" w:cs="Times New Roman"/>
                          <w:color w:val="222222"/>
                          <w:sz w:val="20"/>
                          <w:szCs w:val="20"/>
                          <w:shd w:val="clear" w:color="auto" w:fill="FFFFFF"/>
                          <w:lang w:val="fr-CA"/>
                        </w:rPr>
                        <w:t>Andre</w:t>
                      </w:r>
                      <w:proofErr w:type="spellEnd"/>
                      <w:r w:rsidRPr="00F91F0D">
                        <w:rPr>
                          <w:rFonts w:ascii="Garamond" w:eastAsia="Times New Roman" w:hAnsi="Garamond" w:cs="Times New Roman"/>
                          <w:color w:val="222222"/>
                          <w:sz w:val="20"/>
                          <w:szCs w:val="20"/>
                          <w:shd w:val="clear" w:color="auto" w:fill="FFFFFF"/>
                          <w:lang w:val="fr-CA"/>
                        </w:rPr>
                        <w:t xml:space="preserve"> </w:t>
                      </w:r>
                      <w:proofErr w:type="spellStart"/>
                      <w:r w:rsidRPr="00F91F0D">
                        <w:rPr>
                          <w:rFonts w:ascii="Garamond" w:eastAsia="Times New Roman" w:hAnsi="Garamond" w:cs="Times New Roman"/>
                          <w:color w:val="222222"/>
                          <w:sz w:val="20"/>
                          <w:szCs w:val="20"/>
                          <w:shd w:val="clear" w:color="auto" w:fill="FFFFFF"/>
                          <w:lang w:val="fr-CA"/>
                        </w:rPr>
                        <w:t>Monsiau</w:t>
                      </w:r>
                      <w:proofErr w:type="spellEnd"/>
                      <w:r w:rsidRPr="00F91F0D">
                        <w:rPr>
                          <w:rFonts w:ascii="Garamond" w:eastAsia="Times New Roman" w:hAnsi="Garamond" w:cs="Times New Roman"/>
                          <w:color w:val="222222"/>
                          <w:sz w:val="20"/>
                          <w:szCs w:val="20"/>
                          <w:shd w:val="clear" w:color="auto" w:fill="FFFFFF"/>
                          <w:lang w:val="fr-CA"/>
                        </w:rPr>
                        <w:t>,</w:t>
                      </w:r>
                      <w:r w:rsidRPr="00F91F0D">
                        <w:rPr>
                          <w:rFonts w:ascii="Garamond" w:eastAsia="Times New Roman" w:hAnsi="Garamond" w:cs="Arial"/>
                          <w:sz w:val="20"/>
                          <w:szCs w:val="20"/>
                          <w:shd w:val="clear" w:color="auto" w:fill="FFFFFF"/>
                          <w:lang w:val="fr-CA"/>
                        </w:rPr>
                        <w:t xml:space="preserve"> “</w:t>
                      </w:r>
                      <w:r w:rsidRPr="00F91F0D">
                        <w:rPr>
                          <w:rFonts w:ascii="Garamond" w:hAnsi="Garamond"/>
                          <w:sz w:val="20"/>
                          <w:szCs w:val="20"/>
                          <w:lang w:val="fr-CA"/>
                        </w:rPr>
                        <w:t>L’abolition de l’esclavage proclamé à la Convention,” (1794).</w:t>
                      </w:r>
                    </w:p>
                  </w:txbxContent>
                </v:textbox>
              </v:shape>
            </w:pict>
          </mc:Fallback>
        </mc:AlternateContent>
      </w:r>
      <w:r w:rsidRPr="00765407">
        <w:rPr>
          <w:rFonts w:ascii="Garamond" w:hAnsi="Garamond"/>
          <w:noProof/>
          <w:bdr w:val="single" w:sz="4" w:space="0" w:color="auto"/>
        </w:rPr>
        <w:drawing>
          <wp:anchor distT="0" distB="0" distL="114300" distR="114300" simplePos="0" relativeHeight="251672576" behindDoc="0" locked="0" layoutInCell="1" allowOverlap="1" wp14:anchorId="166E0C8D" wp14:editId="1A21D162">
            <wp:simplePos x="0" y="0"/>
            <wp:positionH relativeFrom="column">
              <wp:posOffset>-259080</wp:posOffset>
            </wp:positionH>
            <wp:positionV relativeFrom="paragraph">
              <wp:posOffset>210820</wp:posOffset>
            </wp:positionV>
            <wp:extent cx="6353810" cy="5045710"/>
            <wp:effectExtent l="0" t="0" r="0" b="0"/>
            <wp:wrapSquare wrapText="bothSides"/>
            <wp:docPr id="8" name="Picture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3810" cy="504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407">
        <w:rPr>
          <w:rFonts w:ascii="Garamond" w:hAnsi="Garamond"/>
          <w:noProof/>
          <w:bdr w:val="single" w:sz="4" w:space="0" w:color="auto"/>
        </w:rPr>
        <w:t xml:space="preserve"> </w:t>
      </w:r>
    </w:p>
    <w:sectPr w:rsidR="00A3216C" w:rsidRPr="00765407">
      <w:headerReference w:type="default" r:id="rId9"/>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3E422" w14:textId="77777777" w:rsidR="003313D9" w:rsidRDefault="003313D9" w:rsidP="0090120A">
      <w:r>
        <w:separator/>
      </w:r>
    </w:p>
  </w:endnote>
  <w:endnote w:type="continuationSeparator" w:id="0">
    <w:p w14:paraId="7A2B04E7" w14:textId="77777777" w:rsidR="003313D9" w:rsidRDefault="003313D9" w:rsidP="0090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898651"/>
      <w:docPartObj>
        <w:docPartGallery w:val="Page Numbers (Bottom of Page)"/>
        <w:docPartUnique/>
      </w:docPartObj>
    </w:sdtPr>
    <w:sdtContent>
      <w:p w14:paraId="7FD36C44" w14:textId="77777777" w:rsidR="006A0B25" w:rsidRDefault="00000000" w:rsidP="00AA4E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ED682F" w14:textId="77777777" w:rsidR="006A0B25" w:rsidRDefault="00000000" w:rsidP="006A0B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2792944"/>
      <w:docPartObj>
        <w:docPartGallery w:val="Page Numbers (Bottom of Page)"/>
        <w:docPartUnique/>
      </w:docPartObj>
    </w:sdtPr>
    <w:sdtEndPr>
      <w:rPr>
        <w:rStyle w:val="PageNumber"/>
        <w:rFonts w:ascii="Garamond" w:hAnsi="Garamond"/>
        <w:sz w:val="18"/>
        <w:szCs w:val="18"/>
      </w:rPr>
    </w:sdtEndPr>
    <w:sdtContent>
      <w:p w14:paraId="4B6A47FE" w14:textId="77777777" w:rsidR="006A0B25" w:rsidRDefault="00000000" w:rsidP="00AA4E63">
        <w:pPr>
          <w:pStyle w:val="Footer"/>
          <w:framePr w:wrap="none" w:vAnchor="text" w:hAnchor="margin" w:xAlign="right" w:y="1"/>
          <w:rPr>
            <w:rStyle w:val="PageNumber"/>
          </w:rPr>
        </w:pPr>
        <w:r w:rsidRPr="006A0B25">
          <w:rPr>
            <w:rStyle w:val="PageNumber"/>
            <w:rFonts w:ascii="Garamond" w:hAnsi="Garamond"/>
            <w:sz w:val="18"/>
            <w:szCs w:val="18"/>
          </w:rPr>
          <w:fldChar w:fldCharType="begin"/>
        </w:r>
        <w:r w:rsidRPr="006A0B25">
          <w:rPr>
            <w:rStyle w:val="PageNumber"/>
            <w:rFonts w:ascii="Garamond" w:hAnsi="Garamond"/>
            <w:sz w:val="18"/>
            <w:szCs w:val="18"/>
          </w:rPr>
          <w:instrText xml:space="preserve"> PAGE </w:instrText>
        </w:r>
        <w:r w:rsidRPr="006A0B25">
          <w:rPr>
            <w:rStyle w:val="PageNumber"/>
            <w:rFonts w:ascii="Garamond" w:hAnsi="Garamond"/>
            <w:sz w:val="18"/>
            <w:szCs w:val="18"/>
          </w:rPr>
          <w:fldChar w:fldCharType="separate"/>
        </w:r>
        <w:r w:rsidRPr="006A0B25">
          <w:rPr>
            <w:rStyle w:val="PageNumber"/>
            <w:rFonts w:ascii="Garamond" w:hAnsi="Garamond"/>
            <w:noProof/>
            <w:sz w:val="18"/>
            <w:szCs w:val="18"/>
          </w:rPr>
          <w:t>1</w:t>
        </w:r>
        <w:r w:rsidRPr="006A0B25">
          <w:rPr>
            <w:rStyle w:val="PageNumber"/>
            <w:rFonts w:ascii="Garamond" w:hAnsi="Garamond"/>
            <w:sz w:val="18"/>
            <w:szCs w:val="18"/>
          </w:rPr>
          <w:fldChar w:fldCharType="end"/>
        </w:r>
      </w:p>
    </w:sdtContent>
  </w:sdt>
  <w:p w14:paraId="4758BF3A" w14:textId="77777777" w:rsidR="006A0B25" w:rsidRDefault="00000000" w:rsidP="006A0B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47497" w14:textId="77777777" w:rsidR="003313D9" w:rsidRDefault="003313D9" w:rsidP="0090120A">
      <w:r>
        <w:separator/>
      </w:r>
    </w:p>
  </w:footnote>
  <w:footnote w:type="continuationSeparator" w:id="0">
    <w:p w14:paraId="6AB8CC5E" w14:textId="77777777" w:rsidR="003313D9" w:rsidRDefault="003313D9" w:rsidP="0090120A">
      <w:r>
        <w:continuationSeparator/>
      </w:r>
    </w:p>
  </w:footnote>
  <w:footnote w:id="1">
    <w:p w14:paraId="5CE20C46" w14:textId="5F6B3A40" w:rsidR="0090120A" w:rsidRPr="00765407" w:rsidRDefault="0090120A" w:rsidP="0090120A">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w:t>
      </w:r>
      <w:r w:rsidRPr="00765407">
        <w:rPr>
          <w:rFonts w:ascii="Garamond" w:hAnsi="Garamond"/>
          <w:sz w:val="18"/>
          <w:szCs w:val="18"/>
          <w:lang w:val="en-US"/>
        </w:rPr>
        <w:t>The</w:t>
      </w:r>
      <w:r w:rsidRPr="00765407">
        <w:rPr>
          <w:rFonts w:ascii="Garamond" w:hAnsi="Garamond"/>
          <w:i/>
          <w:iCs/>
          <w:sz w:val="18"/>
          <w:szCs w:val="18"/>
          <w:lang w:val="en-US"/>
        </w:rPr>
        <w:t xml:space="preserve">. </w:t>
      </w:r>
    </w:p>
  </w:footnote>
  <w:footnote w:id="2">
    <w:p w14:paraId="66FDBC42" w14:textId="77777777" w:rsidR="0090120A" w:rsidRPr="00765407" w:rsidRDefault="0090120A" w:rsidP="0090120A">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Lovejoy, </w:t>
      </w:r>
      <w:r w:rsidRPr="00765407">
        <w:rPr>
          <w:rFonts w:ascii="Garamond" w:hAnsi="Garamond"/>
          <w:i/>
          <w:iCs/>
          <w:sz w:val="18"/>
          <w:szCs w:val="18"/>
        </w:rPr>
        <w:t>Great Chain of Being</w:t>
      </w:r>
      <w:r w:rsidRPr="00765407">
        <w:rPr>
          <w:rFonts w:ascii="Garamond" w:hAnsi="Garamond"/>
          <w:sz w:val="18"/>
          <w:szCs w:val="18"/>
        </w:rPr>
        <w:t xml:space="preserve">, </w:t>
      </w:r>
      <w:r w:rsidRPr="00765407">
        <w:rPr>
          <w:rFonts w:ascii="Garamond" w:hAnsi="Garamond"/>
          <w:sz w:val="18"/>
          <w:szCs w:val="18"/>
          <w:lang w:val="en-US"/>
        </w:rPr>
        <w:t xml:space="preserve">7. In his </w:t>
      </w:r>
      <w:proofErr w:type="gramStart"/>
      <w:r w:rsidRPr="00765407">
        <w:rPr>
          <w:rFonts w:ascii="Garamond" w:hAnsi="Garamond"/>
          <w:sz w:val="18"/>
          <w:szCs w:val="18"/>
          <w:lang w:val="en-US"/>
        </w:rPr>
        <w:t>particular case</w:t>
      </w:r>
      <w:proofErr w:type="gramEnd"/>
      <w:r w:rsidRPr="00765407">
        <w:rPr>
          <w:rFonts w:ascii="Garamond" w:hAnsi="Garamond"/>
          <w:sz w:val="18"/>
          <w:szCs w:val="18"/>
          <w:lang w:val="en-US"/>
        </w:rPr>
        <w:t xml:space="preserve"> study, Lovejoy argues that three unit-ideas </w:t>
      </w:r>
      <w:r w:rsidRPr="00765407">
        <w:rPr>
          <w:rFonts w:ascii="Garamond" w:hAnsi="Garamond"/>
          <w:sz w:val="18"/>
          <w:szCs w:val="18"/>
        </w:rPr>
        <w:t xml:space="preserve">make up the idea of </w:t>
      </w:r>
      <w:r w:rsidRPr="00765407">
        <w:rPr>
          <w:rFonts w:ascii="Garamond" w:hAnsi="Garamond"/>
          <w:sz w:val="18"/>
          <w:szCs w:val="18"/>
          <w:lang w:val="en-US"/>
        </w:rPr>
        <w:t xml:space="preserve">the great chain being, which are the </w:t>
      </w:r>
      <w:r w:rsidRPr="00765407">
        <w:rPr>
          <w:rFonts w:ascii="Garamond" w:hAnsi="Garamond"/>
          <w:sz w:val="18"/>
          <w:szCs w:val="18"/>
        </w:rPr>
        <w:t>principles of plenitude, continuity, and gradation.</w:t>
      </w:r>
    </w:p>
  </w:footnote>
  <w:footnote w:id="3">
    <w:p w14:paraId="2F2C2038"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Lovejoy, </w:t>
      </w:r>
      <w:r w:rsidRPr="00765407">
        <w:rPr>
          <w:rFonts w:ascii="Garamond" w:hAnsi="Garamond"/>
          <w:i/>
          <w:iCs/>
          <w:sz w:val="18"/>
          <w:szCs w:val="18"/>
        </w:rPr>
        <w:t>Great Chain of Being</w:t>
      </w:r>
      <w:r w:rsidRPr="00765407">
        <w:rPr>
          <w:rFonts w:ascii="Garamond" w:hAnsi="Garamond"/>
          <w:sz w:val="18"/>
          <w:szCs w:val="18"/>
        </w:rPr>
        <w:t xml:space="preserve">, </w:t>
      </w:r>
      <w:r w:rsidRPr="00765407">
        <w:rPr>
          <w:rFonts w:ascii="Garamond" w:hAnsi="Garamond"/>
          <w:sz w:val="18"/>
          <w:szCs w:val="18"/>
          <w:lang w:val="en-US"/>
        </w:rPr>
        <w:t>7.</w:t>
      </w:r>
    </w:p>
  </w:footnote>
  <w:footnote w:id="4">
    <w:p w14:paraId="4ADCE1EE" w14:textId="77777777" w:rsidR="0090120A" w:rsidRPr="00765407" w:rsidRDefault="0090120A" w:rsidP="0090120A">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Lovejoy, </w:t>
      </w:r>
      <w:r w:rsidRPr="00765407">
        <w:rPr>
          <w:rFonts w:ascii="Garamond" w:hAnsi="Garamond"/>
          <w:i/>
          <w:iCs/>
          <w:sz w:val="18"/>
          <w:szCs w:val="18"/>
        </w:rPr>
        <w:t xml:space="preserve">Great Chain of Being, </w:t>
      </w:r>
      <w:r w:rsidRPr="00765407">
        <w:rPr>
          <w:rFonts w:ascii="Garamond" w:hAnsi="Garamond"/>
          <w:sz w:val="18"/>
          <w:szCs w:val="18"/>
          <w:lang w:val="en-US"/>
        </w:rPr>
        <w:t xml:space="preserve">7. For an influential critique of Lovejoy, see </w:t>
      </w:r>
      <w:r w:rsidRPr="00765407">
        <w:rPr>
          <w:rFonts w:ascii="Garamond" w:hAnsi="Garamond" w:cs="Arial"/>
          <w:sz w:val="18"/>
          <w:szCs w:val="18"/>
        </w:rPr>
        <w:t xml:space="preserve">Quentin Skinner, "Meaning and Understanding in the History of Ideas," </w:t>
      </w:r>
      <w:r w:rsidRPr="00765407">
        <w:rPr>
          <w:rFonts w:ascii="Garamond" w:hAnsi="Garamond" w:cs="Arial"/>
          <w:i/>
          <w:iCs/>
          <w:sz w:val="18"/>
          <w:szCs w:val="18"/>
        </w:rPr>
        <w:t>History &amp; Theory</w:t>
      </w:r>
      <w:r w:rsidRPr="00765407">
        <w:rPr>
          <w:rFonts w:ascii="Garamond" w:hAnsi="Garamond" w:cs="Arial"/>
          <w:sz w:val="18"/>
          <w:szCs w:val="18"/>
        </w:rPr>
        <w:t xml:space="preserve"> 8 (1969): 3-53.</w:t>
      </w:r>
      <w:r w:rsidRPr="00765407">
        <w:rPr>
          <w:rFonts w:ascii="Garamond" w:hAnsi="Garamond"/>
          <w:sz w:val="18"/>
          <w:szCs w:val="18"/>
          <w:lang w:val="en-US"/>
        </w:rPr>
        <w:t xml:space="preserve"> </w:t>
      </w:r>
    </w:p>
  </w:footnote>
  <w:footnote w:id="5">
    <w:p w14:paraId="16D43C48" w14:textId="77777777" w:rsidR="0090120A" w:rsidRPr="00765407" w:rsidRDefault="0090120A" w:rsidP="0090120A">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As he puts it in </w:t>
      </w:r>
      <w:r w:rsidRPr="00765407">
        <w:rPr>
          <w:rFonts w:ascii="Garamond" w:hAnsi="Garamond"/>
          <w:sz w:val="18"/>
          <w:szCs w:val="18"/>
          <w:lang w:val="en-US"/>
        </w:rPr>
        <w:t>the 1997 revised edition, “Partisans of Parliament used arguments against the King which after the civil war democratic radicals could use for ‘the people’ against Parliament itself” (355).</w:t>
      </w:r>
    </w:p>
  </w:footnote>
  <w:footnote w:id="6">
    <w:p w14:paraId="6719614F" w14:textId="77777777" w:rsidR="0090120A" w:rsidRPr="00765407" w:rsidRDefault="0090120A" w:rsidP="0090120A">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Hill, </w:t>
      </w:r>
      <w:r w:rsidRPr="00765407">
        <w:rPr>
          <w:rFonts w:ascii="Garamond" w:hAnsi="Garamond"/>
          <w:i/>
          <w:iCs/>
          <w:sz w:val="18"/>
          <w:szCs w:val="18"/>
          <w:lang w:val="en-US"/>
        </w:rPr>
        <w:t>Intellectual Origins of the English Revolution</w:t>
      </w:r>
      <w:r w:rsidRPr="00765407">
        <w:rPr>
          <w:rFonts w:ascii="Garamond" w:hAnsi="Garamond" w:cs="Arial"/>
          <w:sz w:val="18"/>
          <w:szCs w:val="18"/>
        </w:rPr>
        <w:t>, 5.</w:t>
      </w:r>
    </w:p>
  </w:footnote>
  <w:footnote w:id="7">
    <w:p w14:paraId="53B6F4A8"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Hill, </w:t>
      </w:r>
      <w:r w:rsidRPr="00765407">
        <w:rPr>
          <w:rFonts w:ascii="Garamond" w:hAnsi="Garamond"/>
          <w:i/>
          <w:iCs/>
          <w:sz w:val="18"/>
          <w:szCs w:val="18"/>
          <w:lang w:val="en-US"/>
        </w:rPr>
        <w:t>Intellectual Origins</w:t>
      </w:r>
      <w:r w:rsidRPr="00765407">
        <w:rPr>
          <w:rFonts w:ascii="Garamond" w:hAnsi="Garamond"/>
          <w:sz w:val="18"/>
          <w:szCs w:val="18"/>
          <w:lang w:val="en-US"/>
        </w:rPr>
        <w:t xml:space="preserve">, </w:t>
      </w:r>
      <w:r w:rsidRPr="00765407">
        <w:rPr>
          <w:rFonts w:ascii="Garamond" w:hAnsi="Garamond"/>
          <w:sz w:val="18"/>
          <w:szCs w:val="18"/>
        </w:rPr>
        <w:t>3.</w:t>
      </w:r>
    </w:p>
  </w:footnote>
  <w:footnote w:id="8">
    <w:p w14:paraId="2CD4AC85"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Hill, </w:t>
      </w:r>
      <w:r w:rsidRPr="00765407">
        <w:rPr>
          <w:rFonts w:ascii="Garamond" w:hAnsi="Garamond"/>
          <w:i/>
          <w:iCs/>
          <w:sz w:val="18"/>
          <w:szCs w:val="18"/>
          <w:lang w:val="en-US"/>
        </w:rPr>
        <w:t>Intellectual Origins</w:t>
      </w:r>
      <w:r w:rsidRPr="00765407">
        <w:rPr>
          <w:rFonts w:ascii="Garamond" w:hAnsi="Garamond"/>
          <w:sz w:val="18"/>
          <w:szCs w:val="18"/>
        </w:rPr>
        <w:t>, 5.</w:t>
      </w:r>
    </w:p>
  </w:footnote>
  <w:footnote w:id="9">
    <w:p w14:paraId="75EB3BD6" w14:textId="77777777" w:rsidR="0090120A" w:rsidRPr="00765407" w:rsidRDefault="0090120A" w:rsidP="0090120A">
      <w:pPr>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In her study of the Hill’s work, Rachel </w:t>
      </w:r>
      <w:proofErr w:type="spellStart"/>
      <w:r w:rsidRPr="00765407">
        <w:rPr>
          <w:rFonts w:ascii="Garamond" w:hAnsi="Garamond"/>
          <w:sz w:val="18"/>
          <w:szCs w:val="18"/>
        </w:rPr>
        <w:t>Foxley</w:t>
      </w:r>
      <w:proofErr w:type="spellEnd"/>
      <w:r w:rsidRPr="00765407">
        <w:rPr>
          <w:rFonts w:ascii="Garamond" w:hAnsi="Garamond"/>
          <w:sz w:val="18"/>
          <w:szCs w:val="18"/>
        </w:rPr>
        <w:t xml:space="preserve"> summarizes his method as follows: </w:t>
      </w:r>
      <w:r w:rsidRPr="00765407">
        <w:rPr>
          <w:rFonts w:ascii="Garamond" w:eastAsia="Times New Roman" w:hAnsi="Garamond" w:cs="Arial"/>
          <w:sz w:val="18"/>
          <w:szCs w:val="18"/>
        </w:rPr>
        <w:t xml:space="preserve">“the broad outlines of a body of ideas might be determined by the inner logic of those ideas and their natural implications; these would then be cemented into social place by their economic </w:t>
      </w:r>
      <w:proofErr w:type="gramStart"/>
      <w:r w:rsidRPr="00765407">
        <w:rPr>
          <w:rFonts w:ascii="Garamond" w:eastAsia="Times New Roman" w:hAnsi="Garamond" w:cs="Arial"/>
          <w:sz w:val="18"/>
          <w:szCs w:val="18"/>
        </w:rPr>
        <w:t>implications, and</w:t>
      </w:r>
      <w:proofErr w:type="gramEnd"/>
      <w:r w:rsidRPr="00765407">
        <w:rPr>
          <w:rFonts w:ascii="Garamond" w:eastAsia="Times New Roman" w:hAnsi="Garamond" w:cs="Arial"/>
          <w:sz w:val="18"/>
          <w:szCs w:val="18"/>
        </w:rPr>
        <w:t xml:space="preserve"> interpreted in the light of the interests of the group who had latched onto them.” </w:t>
      </w:r>
      <w:r w:rsidRPr="00765407">
        <w:rPr>
          <w:rFonts w:ascii="Garamond" w:hAnsi="Garamond"/>
          <w:sz w:val="18"/>
          <w:szCs w:val="18"/>
        </w:rPr>
        <w:t xml:space="preserve">Rachel </w:t>
      </w:r>
      <w:proofErr w:type="spellStart"/>
      <w:r w:rsidRPr="00765407">
        <w:rPr>
          <w:rFonts w:ascii="Garamond" w:hAnsi="Garamond"/>
          <w:sz w:val="18"/>
          <w:szCs w:val="18"/>
        </w:rPr>
        <w:t>Foxley</w:t>
      </w:r>
      <w:proofErr w:type="spellEnd"/>
      <w:r w:rsidRPr="00765407">
        <w:rPr>
          <w:rFonts w:ascii="Garamond" w:hAnsi="Garamond"/>
          <w:sz w:val="18"/>
          <w:szCs w:val="18"/>
        </w:rPr>
        <w:t xml:space="preserve">, “The logic of ideas in Christopher Hill's English revolution.” </w:t>
      </w:r>
      <w:r w:rsidRPr="00765407">
        <w:rPr>
          <w:rFonts w:ascii="Garamond" w:hAnsi="Garamond"/>
          <w:i/>
          <w:iCs/>
          <w:sz w:val="18"/>
          <w:szCs w:val="18"/>
        </w:rPr>
        <w:t>Prose Studies: History, Theory, Criticism</w:t>
      </w:r>
      <w:r w:rsidRPr="00765407">
        <w:rPr>
          <w:rFonts w:ascii="Garamond" w:hAnsi="Garamond"/>
          <w:sz w:val="18"/>
          <w:szCs w:val="18"/>
        </w:rPr>
        <w:t xml:space="preserve">, 36, 3 (2015): 199-208. </w:t>
      </w:r>
    </w:p>
  </w:footnote>
  <w:footnote w:id="10">
    <w:p w14:paraId="5C63728F"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Hill, </w:t>
      </w:r>
      <w:r w:rsidRPr="00765407">
        <w:rPr>
          <w:rFonts w:ascii="Garamond" w:hAnsi="Garamond"/>
          <w:i/>
          <w:iCs/>
          <w:sz w:val="18"/>
          <w:szCs w:val="18"/>
          <w:lang w:val="en-US"/>
        </w:rPr>
        <w:t>Intellectual Origins</w:t>
      </w:r>
      <w:r w:rsidRPr="00765407">
        <w:rPr>
          <w:rFonts w:ascii="Garamond" w:hAnsi="Garamond"/>
          <w:sz w:val="18"/>
          <w:szCs w:val="18"/>
        </w:rPr>
        <w:t>, 3.</w:t>
      </w:r>
    </w:p>
  </w:footnote>
  <w:footnote w:id="11">
    <w:p w14:paraId="6E2EAE7D"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Hill, </w:t>
      </w:r>
      <w:r w:rsidRPr="00765407">
        <w:rPr>
          <w:rFonts w:ascii="Garamond" w:hAnsi="Garamond"/>
          <w:i/>
          <w:iCs/>
          <w:sz w:val="18"/>
          <w:szCs w:val="18"/>
          <w:lang w:val="en-US"/>
        </w:rPr>
        <w:t>Intellectual Origins</w:t>
      </w:r>
      <w:r w:rsidRPr="00765407">
        <w:rPr>
          <w:rFonts w:ascii="Garamond" w:hAnsi="Garamond"/>
          <w:sz w:val="18"/>
          <w:szCs w:val="18"/>
        </w:rPr>
        <w:t>, 256.</w:t>
      </w:r>
    </w:p>
  </w:footnote>
  <w:footnote w:id="12">
    <w:p w14:paraId="0FE8E9C0"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Christopher Hill, </w:t>
      </w:r>
      <w:r w:rsidRPr="00765407">
        <w:rPr>
          <w:rFonts w:ascii="Garamond" w:hAnsi="Garamond"/>
          <w:i/>
          <w:iCs/>
          <w:sz w:val="18"/>
          <w:szCs w:val="18"/>
        </w:rPr>
        <w:t xml:space="preserve">The World Turned Upside Down: Radical Ideas During the English Revolution </w:t>
      </w:r>
      <w:r w:rsidRPr="00765407">
        <w:rPr>
          <w:rFonts w:ascii="Garamond" w:hAnsi="Garamond"/>
          <w:sz w:val="18"/>
          <w:szCs w:val="18"/>
        </w:rPr>
        <w:t>(Viking Press, 1972).</w:t>
      </w:r>
    </w:p>
  </w:footnote>
  <w:footnote w:id="13">
    <w:p w14:paraId="755C136F" w14:textId="77777777" w:rsidR="0090120A" w:rsidRPr="00765407" w:rsidRDefault="0090120A" w:rsidP="0090120A">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“Ideas in Context: Conversation with Quentin Skinner,” 126 </w:t>
      </w:r>
    </w:p>
  </w:footnote>
  <w:footnote w:id="14">
    <w:p w14:paraId="68627B5D" w14:textId="77777777" w:rsidR="0090120A" w:rsidRPr="00765407" w:rsidRDefault="0090120A" w:rsidP="0090120A">
      <w:pPr>
        <w:pStyle w:val="FootnoteText"/>
        <w:rPr>
          <w:rFonts w:ascii="Garamond" w:hAnsi="Garamond"/>
          <w:sz w:val="18"/>
          <w:szCs w:val="18"/>
        </w:rPr>
      </w:pPr>
      <w:r w:rsidRPr="00765407">
        <w:rPr>
          <w:rStyle w:val="FootnoteReference"/>
          <w:rFonts w:ascii="Garamond" w:eastAsiaTheme="majorEastAsia" w:hAnsi="Garamond"/>
          <w:sz w:val="18"/>
          <w:szCs w:val="18"/>
        </w:rPr>
        <w:footnoteRef/>
      </w:r>
      <w:r w:rsidRPr="00765407">
        <w:rPr>
          <w:rFonts w:ascii="Garamond" w:hAnsi="Garamond"/>
          <w:sz w:val="18"/>
          <w:szCs w:val="18"/>
        </w:rPr>
        <w:t xml:space="preserve"> Skinner, “Meaning and Understanding,”</w:t>
      </w:r>
      <w:r w:rsidRPr="00765407">
        <w:rPr>
          <w:rFonts w:ascii="Garamond" w:hAnsi="Garamond"/>
          <w:i/>
          <w:sz w:val="18"/>
          <w:szCs w:val="18"/>
        </w:rPr>
        <w:t xml:space="preserve"> Visions of Politics Volume I: Regarding Method</w:t>
      </w:r>
      <w:r w:rsidRPr="00765407">
        <w:rPr>
          <w:rFonts w:ascii="Garamond" w:hAnsi="Garamond"/>
          <w:sz w:val="18"/>
          <w:szCs w:val="18"/>
        </w:rPr>
        <w:t xml:space="preserve"> (Cambridge, 2002)</w:t>
      </w:r>
      <w:r w:rsidRPr="00765407">
        <w:rPr>
          <w:rFonts w:ascii="Garamond" w:hAnsi="Garamond"/>
          <w:i/>
          <w:sz w:val="18"/>
          <w:szCs w:val="18"/>
        </w:rPr>
        <w:t xml:space="preserve">, </w:t>
      </w:r>
      <w:r w:rsidRPr="00765407">
        <w:rPr>
          <w:rFonts w:ascii="Garamond" w:hAnsi="Garamond"/>
          <w:sz w:val="18"/>
          <w:szCs w:val="18"/>
        </w:rPr>
        <w:t xml:space="preserve">82. </w:t>
      </w:r>
    </w:p>
  </w:footnote>
  <w:footnote w:id="15">
    <w:p w14:paraId="25238A4F"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“Interview with Quentin Skinner,” https://archives.history.ac.uk/makinghistory/resources/interviews/Skinner_Quentin.html</w:t>
      </w:r>
    </w:p>
  </w:footnote>
  <w:footnote w:id="16">
    <w:p w14:paraId="5F7DC546" w14:textId="77777777" w:rsidR="0090120A" w:rsidRPr="00765407" w:rsidRDefault="0090120A" w:rsidP="0090120A">
      <w:pPr>
        <w:rPr>
          <w:rFonts w:ascii="Garamond" w:eastAsia="Times New Roman" w:hAnsi="Garamond" w:cs="Times New Roman"/>
          <w:sz w:val="18"/>
          <w:szCs w:val="18"/>
        </w:rPr>
      </w:pPr>
      <w:r w:rsidRPr="00765407">
        <w:rPr>
          <w:rStyle w:val="FootnoteReference"/>
          <w:rFonts w:ascii="Garamond" w:hAnsi="Garamond"/>
          <w:sz w:val="18"/>
          <w:szCs w:val="18"/>
        </w:rPr>
        <w:footnoteRef/>
      </w:r>
      <w:r w:rsidRPr="00765407">
        <w:rPr>
          <w:rFonts w:ascii="Garamond" w:hAnsi="Garamond"/>
          <w:sz w:val="18"/>
          <w:szCs w:val="18"/>
          <w:lang w:val="de-DE"/>
        </w:rPr>
        <w:t xml:space="preserve"> </w:t>
      </w:r>
      <w:r w:rsidRPr="00765407">
        <w:rPr>
          <w:rFonts w:ascii="Garamond" w:eastAsia="Times New Roman" w:hAnsi="Garamond" w:cs="Times New Roman"/>
          <w:sz w:val="18"/>
          <w:szCs w:val="18"/>
          <w:lang w:val="de-DE"/>
        </w:rPr>
        <w:t xml:space="preserve">Q. Skinner, und H. Li. </w:t>
      </w:r>
      <w:r w:rsidRPr="00765407">
        <w:rPr>
          <w:rFonts w:ascii="Garamond" w:eastAsia="Times New Roman" w:hAnsi="Garamond" w:cs="Times New Roman"/>
          <w:sz w:val="18"/>
          <w:szCs w:val="18"/>
        </w:rPr>
        <w:t xml:space="preserve">„Ideas in Context: Conversation with Quentin Skinner,” </w:t>
      </w:r>
      <w:r w:rsidRPr="00765407">
        <w:rPr>
          <w:rFonts w:ascii="Garamond" w:eastAsia="Times New Roman" w:hAnsi="Garamond" w:cs="Times New Roman"/>
          <w:i/>
          <w:iCs/>
          <w:sz w:val="18"/>
          <w:szCs w:val="18"/>
        </w:rPr>
        <w:t>Chicago journal of history</w:t>
      </w:r>
      <w:r w:rsidRPr="00765407">
        <w:rPr>
          <w:rFonts w:ascii="Garamond" w:eastAsia="Times New Roman" w:hAnsi="Garamond" w:cs="Times New Roman"/>
          <w:sz w:val="18"/>
          <w:szCs w:val="18"/>
        </w:rPr>
        <w:t xml:space="preserve"> 7 (2016), 126-127, emphasis added. </w:t>
      </w:r>
    </w:p>
  </w:footnote>
  <w:footnote w:id="17">
    <w:p w14:paraId="770600B1"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Skinner and Li. “Ideas in Context: Conversation with Quentin Skinner,” 124.</w:t>
      </w:r>
    </w:p>
  </w:footnote>
  <w:footnote w:id="18">
    <w:p w14:paraId="1A9A4C96" w14:textId="77777777" w:rsidR="0090120A" w:rsidRPr="00765407" w:rsidRDefault="0090120A" w:rsidP="0090120A">
      <w:pPr>
        <w:rPr>
          <w:rFonts w:ascii="Garamond" w:eastAsia="Times New Roman" w:hAnsi="Garamond" w:cs="Times New Roman"/>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Habermas, “</w:t>
      </w:r>
      <w:r w:rsidRPr="00765407">
        <w:rPr>
          <w:rFonts w:ascii="Garamond" w:eastAsia="Times New Roman" w:hAnsi="Garamond" w:cs="Arial"/>
          <w:sz w:val="18"/>
          <w:szCs w:val="18"/>
        </w:rPr>
        <w:t xml:space="preserve">The Public Sphere: An Encyclopedia Article,” </w:t>
      </w:r>
      <w:r w:rsidRPr="00765407">
        <w:rPr>
          <w:rFonts w:ascii="Garamond" w:eastAsia="Times New Roman" w:hAnsi="Garamond" w:cs="Arial"/>
          <w:i/>
          <w:iCs/>
          <w:sz w:val="18"/>
          <w:szCs w:val="18"/>
        </w:rPr>
        <w:t>New German Critique</w:t>
      </w:r>
      <w:r w:rsidRPr="00765407">
        <w:rPr>
          <w:rFonts w:ascii="Garamond" w:eastAsia="Times New Roman" w:hAnsi="Garamond" w:cs="Arial"/>
          <w:sz w:val="18"/>
          <w:szCs w:val="18"/>
        </w:rPr>
        <w:t>, 3 (1974), 3.</w:t>
      </w:r>
    </w:p>
  </w:footnote>
  <w:footnote w:id="19">
    <w:p w14:paraId="2C78E0E6" w14:textId="77777777" w:rsidR="007146F4" w:rsidRPr="00C073EA" w:rsidRDefault="007146F4" w:rsidP="007146F4">
      <w:pPr>
        <w:pStyle w:val="FootnoteText"/>
        <w:rPr>
          <w:rFonts w:ascii="Garamond" w:hAnsi="Garamond"/>
          <w:color w:val="000000" w:themeColor="text1"/>
          <w:sz w:val="18"/>
          <w:szCs w:val="18"/>
          <w:lang w:val="en-US"/>
        </w:rPr>
      </w:pPr>
      <w:r w:rsidRPr="00C073EA">
        <w:rPr>
          <w:rStyle w:val="FootnoteReference"/>
          <w:rFonts w:ascii="Garamond" w:hAnsi="Garamond"/>
          <w:color w:val="000000" w:themeColor="text1"/>
          <w:sz w:val="18"/>
          <w:szCs w:val="18"/>
        </w:rPr>
        <w:footnoteRef/>
      </w:r>
      <w:r w:rsidRPr="00C073EA">
        <w:rPr>
          <w:rFonts w:ascii="Garamond" w:hAnsi="Garamond"/>
          <w:color w:val="000000" w:themeColor="text1"/>
          <w:sz w:val="18"/>
          <w:szCs w:val="18"/>
        </w:rPr>
        <w:t xml:space="preserve"> Habermas, </w:t>
      </w:r>
      <w:r w:rsidRPr="00C073EA">
        <w:rPr>
          <w:rFonts w:ascii="Garamond" w:hAnsi="Garamond"/>
          <w:i/>
          <w:iCs/>
          <w:color w:val="000000" w:themeColor="text1"/>
          <w:sz w:val="18"/>
          <w:szCs w:val="18"/>
        </w:rPr>
        <w:t xml:space="preserve">Structural Transformation of the Public Sphere, </w:t>
      </w:r>
      <w:r w:rsidRPr="00C073EA">
        <w:rPr>
          <w:rFonts w:ascii="Garamond" w:hAnsi="Garamond" w:cs="Arial"/>
          <w:color w:val="000000" w:themeColor="text1"/>
          <w:sz w:val="18"/>
          <w:szCs w:val="18"/>
          <w:shd w:val="clear" w:color="auto" w:fill="FFFFFF"/>
        </w:rPr>
        <w:t>7.</w:t>
      </w:r>
    </w:p>
  </w:footnote>
  <w:footnote w:id="20">
    <w:p w14:paraId="34589931" w14:textId="77777777" w:rsidR="007146F4" w:rsidRPr="00C073EA" w:rsidRDefault="007146F4" w:rsidP="007146F4">
      <w:pPr>
        <w:pStyle w:val="FootnoteText"/>
        <w:rPr>
          <w:rFonts w:ascii="Garamond" w:hAnsi="Garamond"/>
          <w:color w:val="000000" w:themeColor="text1"/>
          <w:sz w:val="18"/>
          <w:szCs w:val="18"/>
          <w:lang w:val="en-US"/>
        </w:rPr>
      </w:pPr>
      <w:r w:rsidRPr="00C073EA">
        <w:rPr>
          <w:rStyle w:val="FootnoteReference"/>
          <w:rFonts w:ascii="Garamond" w:eastAsiaTheme="majorEastAsia" w:hAnsi="Garamond"/>
          <w:color w:val="000000" w:themeColor="text1"/>
          <w:sz w:val="18"/>
          <w:szCs w:val="18"/>
        </w:rPr>
        <w:footnoteRef/>
      </w:r>
      <w:r w:rsidRPr="00C073EA">
        <w:rPr>
          <w:rFonts w:ascii="Garamond" w:hAnsi="Garamond"/>
          <w:color w:val="000000" w:themeColor="text1"/>
          <w:sz w:val="18"/>
          <w:szCs w:val="18"/>
        </w:rPr>
        <w:t xml:space="preserve"> Habermas, </w:t>
      </w:r>
      <w:r w:rsidRPr="00C073EA">
        <w:rPr>
          <w:rFonts w:ascii="Garamond" w:hAnsi="Garamond"/>
          <w:i/>
          <w:iCs/>
          <w:color w:val="000000" w:themeColor="text1"/>
          <w:sz w:val="18"/>
          <w:szCs w:val="18"/>
        </w:rPr>
        <w:t>Structural Transformation of the Public Sphere</w:t>
      </w:r>
      <w:r w:rsidRPr="00C073EA">
        <w:rPr>
          <w:rFonts w:ascii="Garamond" w:hAnsi="Garamond"/>
          <w:color w:val="000000" w:themeColor="text1"/>
          <w:sz w:val="18"/>
          <w:szCs w:val="18"/>
        </w:rPr>
        <w:t>, 7, 8.</w:t>
      </w:r>
    </w:p>
  </w:footnote>
  <w:footnote w:id="21">
    <w:p w14:paraId="61BFC849" w14:textId="77777777" w:rsidR="007146F4" w:rsidRPr="00C073EA" w:rsidRDefault="007146F4" w:rsidP="007146F4">
      <w:pPr>
        <w:pStyle w:val="FootnoteText"/>
        <w:rPr>
          <w:rFonts w:ascii="Garamond" w:hAnsi="Garamond"/>
          <w:color w:val="000000" w:themeColor="text1"/>
          <w:sz w:val="18"/>
          <w:szCs w:val="18"/>
          <w:lang w:val="en-US"/>
        </w:rPr>
      </w:pPr>
      <w:r w:rsidRPr="00C073EA">
        <w:rPr>
          <w:rStyle w:val="FootnoteReference"/>
          <w:rFonts w:ascii="Garamond" w:hAnsi="Garamond"/>
          <w:color w:val="000000" w:themeColor="text1"/>
          <w:sz w:val="18"/>
          <w:szCs w:val="18"/>
        </w:rPr>
        <w:footnoteRef/>
      </w:r>
      <w:r w:rsidRPr="00C073EA">
        <w:rPr>
          <w:rFonts w:ascii="Garamond" w:hAnsi="Garamond"/>
          <w:color w:val="000000" w:themeColor="text1"/>
          <w:sz w:val="18"/>
          <w:szCs w:val="18"/>
        </w:rPr>
        <w:t xml:space="preserve"> </w:t>
      </w:r>
      <w:r w:rsidRPr="00C073EA">
        <w:rPr>
          <w:rFonts w:ascii="Garamond" w:hAnsi="Garamond"/>
          <w:color w:val="000000" w:themeColor="text1"/>
          <w:sz w:val="18"/>
          <w:szCs w:val="18"/>
          <w:lang w:val="en-US"/>
        </w:rPr>
        <w:t xml:space="preserve">Monod, </w:t>
      </w:r>
      <w:r w:rsidRPr="00C073EA">
        <w:rPr>
          <w:rFonts w:ascii="Garamond" w:hAnsi="Garamond"/>
          <w:i/>
          <w:iCs/>
          <w:color w:val="000000" w:themeColor="text1"/>
          <w:sz w:val="18"/>
          <w:szCs w:val="18"/>
          <w:lang w:val="en-US"/>
        </w:rPr>
        <w:t xml:space="preserve">The Power of Kings, </w:t>
      </w:r>
      <w:r w:rsidRPr="00C073EA">
        <w:rPr>
          <w:rFonts w:ascii="Garamond" w:hAnsi="Garamond"/>
          <w:color w:val="000000" w:themeColor="text1"/>
          <w:sz w:val="18"/>
          <w:szCs w:val="18"/>
          <w:lang w:val="en-US"/>
        </w:rPr>
        <w:t xml:space="preserve">70. </w:t>
      </w:r>
    </w:p>
  </w:footnote>
  <w:footnote w:id="22">
    <w:p w14:paraId="1573894A" w14:textId="77777777" w:rsidR="007146F4" w:rsidRPr="00C073EA" w:rsidRDefault="007146F4" w:rsidP="007146F4">
      <w:pPr>
        <w:pStyle w:val="FootnoteText"/>
        <w:rPr>
          <w:rFonts w:ascii="Garamond" w:hAnsi="Garamond"/>
          <w:color w:val="000000" w:themeColor="text1"/>
          <w:sz w:val="18"/>
          <w:szCs w:val="18"/>
          <w:lang w:val="en-US"/>
        </w:rPr>
      </w:pPr>
      <w:r w:rsidRPr="00C073EA">
        <w:rPr>
          <w:rStyle w:val="FootnoteReference"/>
          <w:rFonts w:ascii="Garamond" w:eastAsiaTheme="majorEastAsia" w:hAnsi="Garamond"/>
          <w:color w:val="000000" w:themeColor="text1"/>
          <w:sz w:val="18"/>
          <w:szCs w:val="18"/>
        </w:rPr>
        <w:footnoteRef/>
      </w:r>
      <w:r w:rsidRPr="00C073EA">
        <w:rPr>
          <w:rFonts w:ascii="Garamond" w:hAnsi="Garamond"/>
          <w:sz w:val="18"/>
          <w:szCs w:val="18"/>
        </w:rPr>
        <w:t xml:space="preserve"> For example, certain </w:t>
      </w:r>
      <w:r w:rsidRPr="00C073EA">
        <w:rPr>
          <w:rFonts w:ascii="Garamond" w:hAnsi="Garamond"/>
          <w:sz w:val="18"/>
          <w:szCs w:val="18"/>
          <w:lang w:val="en-US"/>
        </w:rPr>
        <w:t>fabrics could only be worn by men and women of a particular social status (</w:t>
      </w:r>
      <w:proofErr w:type="gramStart"/>
      <w:r w:rsidRPr="00C073EA">
        <w:rPr>
          <w:rFonts w:ascii="Garamond" w:hAnsi="Garamond"/>
          <w:sz w:val="18"/>
          <w:szCs w:val="18"/>
          <w:lang w:val="en-US"/>
        </w:rPr>
        <w:t>e.g.</w:t>
      </w:r>
      <w:proofErr w:type="gramEnd"/>
      <w:r w:rsidRPr="00C073EA">
        <w:rPr>
          <w:rFonts w:ascii="Garamond" w:hAnsi="Garamond"/>
          <w:sz w:val="18"/>
          <w:szCs w:val="18"/>
          <w:lang w:val="en-US"/>
        </w:rPr>
        <w:t xml:space="preserve"> s</w:t>
      </w:r>
      <w:r w:rsidRPr="00C073EA">
        <w:rPr>
          <w:rFonts w:ascii="Garamond" w:hAnsi="Garamond"/>
          <w:sz w:val="18"/>
          <w:szCs w:val="18"/>
        </w:rPr>
        <w:t>ilk and satin were noble fabrics; fur and gold cloth were restricted to the royal family). Throughout the 16</w:t>
      </w:r>
      <w:r w:rsidRPr="00C073EA">
        <w:rPr>
          <w:rFonts w:ascii="Garamond" w:hAnsi="Garamond"/>
          <w:sz w:val="18"/>
          <w:szCs w:val="18"/>
          <w:vertAlign w:val="superscript"/>
        </w:rPr>
        <w:t>th</w:t>
      </w:r>
      <w:r w:rsidRPr="00C073EA">
        <w:rPr>
          <w:rFonts w:ascii="Garamond" w:hAnsi="Garamond"/>
          <w:sz w:val="18"/>
          <w:szCs w:val="18"/>
        </w:rPr>
        <w:t xml:space="preserve"> and 17</w:t>
      </w:r>
      <w:r w:rsidRPr="00C073EA">
        <w:rPr>
          <w:rFonts w:ascii="Garamond" w:hAnsi="Garamond"/>
          <w:sz w:val="18"/>
          <w:szCs w:val="18"/>
          <w:vertAlign w:val="superscript"/>
        </w:rPr>
        <w:t>th</w:t>
      </w:r>
      <w:r w:rsidRPr="00C073EA">
        <w:rPr>
          <w:rFonts w:ascii="Garamond" w:hAnsi="Garamond"/>
          <w:sz w:val="18"/>
          <w:szCs w:val="18"/>
        </w:rPr>
        <w:t xml:space="preserve"> centuries parliament passed a series sumptuary laws finetuning these aesthetic regulations and it also empowered officers to arrest anyone who transgressed these stratified dress codes. </w:t>
      </w:r>
      <w:r w:rsidRPr="00C073EA">
        <w:rPr>
          <w:rFonts w:ascii="Garamond" w:hAnsi="Garamond"/>
          <w:color w:val="000000" w:themeColor="text1"/>
          <w:sz w:val="18"/>
          <w:szCs w:val="18"/>
        </w:rPr>
        <w:t xml:space="preserve">Harte, “State Control of Dress and Social Change in Pre-Industrial England.” </w:t>
      </w:r>
      <w:r w:rsidRPr="00C073EA">
        <w:rPr>
          <w:rFonts w:ascii="Garamond" w:hAnsi="Garamond"/>
          <w:color w:val="000000" w:themeColor="text1"/>
          <w:sz w:val="18"/>
          <w:szCs w:val="18"/>
          <w:lang w:val="en-US"/>
        </w:rPr>
        <w:t xml:space="preserve">David </w:t>
      </w:r>
      <w:proofErr w:type="spellStart"/>
      <w:r w:rsidRPr="00C073EA">
        <w:rPr>
          <w:rFonts w:ascii="Garamond" w:hAnsi="Garamond"/>
          <w:color w:val="000000" w:themeColor="text1"/>
          <w:sz w:val="18"/>
          <w:szCs w:val="18"/>
          <w:lang w:val="en-US"/>
        </w:rPr>
        <w:t>Kuchta</w:t>
      </w:r>
      <w:proofErr w:type="spellEnd"/>
      <w:r w:rsidRPr="00C073EA">
        <w:rPr>
          <w:rFonts w:ascii="Garamond" w:hAnsi="Garamond"/>
          <w:color w:val="000000" w:themeColor="text1"/>
          <w:sz w:val="18"/>
          <w:szCs w:val="18"/>
          <w:lang w:val="en-US"/>
        </w:rPr>
        <w:t xml:space="preserve">, </w:t>
      </w:r>
      <w:r w:rsidRPr="00C073EA">
        <w:rPr>
          <w:rFonts w:ascii="Garamond" w:hAnsi="Garamond"/>
          <w:color w:val="000000" w:themeColor="text1"/>
          <w:sz w:val="18"/>
          <w:szCs w:val="18"/>
        </w:rPr>
        <w:t xml:space="preserve">“The Semiotics of Masculinity </w:t>
      </w:r>
      <w:proofErr w:type="gramStart"/>
      <w:r w:rsidRPr="00C073EA">
        <w:rPr>
          <w:rFonts w:ascii="Garamond" w:hAnsi="Garamond"/>
          <w:color w:val="000000" w:themeColor="text1"/>
          <w:sz w:val="18"/>
          <w:szCs w:val="18"/>
        </w:rPr>
        <w:t>In</w:t>
      </w:r>
      <w:proofErr w:type="gramEnd"/>
      <w:r w:rsidRPr="00C073EA">
        <w:rPr>
          <w:rFonts w:ascii="Garamond" w:hAnsi="Garamond"/>
          <w:color w:val="000000" w:themeColor="text1"/>
          <w:sz w:val="18"/>
          <w:szCs w:val="18"/>
        </w:rPr>
        <w:t xml:space="preserve"> Renaissance England,” persuasively illustrates </w:t>
      </w:r>
      <w:r w:rsidRPr="00C073EA">
        <w:rPr>
          <w:rFonts w:ascii="Garamond" w:hAnsi="Garamond"/>
          <w:color w:val="000000" w:themeColor="text1"/>
          <w:sz w:val="18"/>
          <w:szCs w:val="18"/>
          <w:lang w:val="en-US"/>
        </w:rPr>
        <w:t>the state’s role in “socially naturalizing” status via clothing.</w:t>
      </w:r>
    </w:p>
  </w:footnote>
  <w:footnote w:id="23">
    <w:p w14:paraId="0C669D86" w14:textId="77777777" w:rsidR="007146F4" w:rsidRPr="00C073EA" w:rsidRDefault="007146F4" w:rsidP="007146F4">
      <w:pPr>
        <w:pStyle w:val="FootnoteText"/>
        <w:rPr>
          <w:rFonts w:ascii="Garamond" w:hAnsi="Garamond"/>
          <w:color w:val="000000" w:themeColor="text1"/>
          <w:sz w:val="18"/>
          <w:szCs w:val="18"/>
          <w:lang w:val="en-US"/>
        </w:rPr>
      </w:pPr>
      <w:r w:rsidRPr="00C073EA">
        <w:rPr>
          <w:rStyle w:val="FootnoteReference"/>
          <w:rFonts w:ascii="Garamond" w:eastAsiaTheme="majorEastAsia" w:hAnsi="Garamond"/>
          <w:color w:val="000000" w:themeColor="text1"/>
          <w:sz w:val="18"/>
          <w:szCs w:val="18"/>
        </w:rPr>
        <w:footnoteRef/>
      </w:r>
      <w:r w:rsidRPr="00C073EA">
        <w:rPr>
          <w:rFonts w:ascii="Garamond" w:hAnsi="Garamond"/>
          <w:color w:val="000000" w:themeColor="text1"/>
          <w:sz w:val="18"/>
          <w:szCs w:val="18"/>
        </w:rPr>
        <w:t xml:space="preserve"> Habermas, </w:t>
      </w:r>
      <w:r w:rsidRPr="00C073EA">
        <w:rPr>
          <w:rFonts w:ascii="Garamond" w:hAnsi="Garamond"/>
          <w:i/>
          <w:iCs/>
          <w:color w:val="000000" w:themeColor="text1"/>
          <w:sz w:val="18"/>
          <w:szCs w:val="18"/>
        </w:rPr>
        <w:t>Structural Transformation of the Public Sphere</w:t>
      </w:r>
      <w:r w:rsidRPr="00C073EA">
        <w:rPr>
          <w:rFonts w:ascii="Garamond" w:hAnsi="Garamond"/>
          <w:color w:val="000000" w:themeColor="text1"/>
          <w:sz w:val="18"/>
          <w:szCs w:val="18"/>
        </w:rPr>
        <w:t xml:space="preserve">, 7, emphasis added. </w:t>
      </w:r>
      <w:r w:rsidRPr="00C073EA">
        <w:rPr>
          <w:rFonts w:ascii="Garamond" w:hAnsi="Garamond"/>
          <w:color w:val="000000" w:themeColor="text1"/>
          <w:sz w:val="18"/>
          <w:szCs w:val="18"/>
          <w:lang w:val="en-US"/>
        </w:rPr>
        <w:t xml:space="preserve">Alongside </w:t>
      </w:r>
      <w:proofErr w:type="spellStart"/>
      <w:r w:rsidRPr="00C073EA">
        <w:rPr>
          <w:rFonts w:ascii="Garamond" w:hAnsi="Garamond"/>
          <w:i/>
          <w:iCs/>
          <w:color w:val="000000" w:themeColor="text1"/>
          <w:sz w:val="18"/>
          <w:szCs w:val="18"/>
          <w:lang w:val="en-US"/>
        </w:rPr>
        <w:t>repräsentation</w:t>
      </w:r>
      <w:proofErr w:type="spellEnd"/>
      <w:r w:rsidRPr="00C073EA">
        <w:rPr>
          <w:rFonts w:ascii="Garamond" w:hAnsi="Garamond"/>
          <w:color w:val="000000" w:themeColor="text1"/>
          <w:sz w:val="18"/>
          <w:szCs w:val="18"/>
          <w:lang w:val="en-US"/>
        </w:rPr>
        <w:t xml:space="preserve">, German has two words for “representation”: </w:t>
      </w:r>
      <w:proofErr w:type="spellStart"/>
      <w:r w:rsidRPr="00C073EA">
        <w:rPr>
          <w:rFonts w:ascii="Garamond" w:hAnsi="Garamond"/>
          <w:i/>
          <w:iCs/>
          <w:color w:val="000000" w:themeColor="text1"/>
          <w:sz w:val="18"/>
          <w:szCs w:val="18"/>
          <w:lang w:val="en-US"/>
        </w:rPr>
        <w:t>vertretung</w:t>
      </w:r>
      <w:proofErr w:type="spellEnd"/>
      <w:r w:rsidRPr="00C073EA">
        <w:rPr>
          <w:rFonts w:ascii="Garamond" w:hAnsi="Garamond"/>
          <w:color w:val="000000" w:themeColor="text1"/>
          <w:sz w:val="18"/>
          <w:szCs w:val="18"/>
          <w:lang w:val="en-US"/>
        </w:rPr>
        <w:t xml:space="preserve">, which has more of a sense of speaking for another, and </w:t>
      </w:r>
      <w:proofErr w:type="spellStart"/>
      <w:r w:rsidRPr="00C073EA">
        <w:rPr>
          <w:rFonts w:ascii="Garamond" w:hAnsi="Garamond"/>
          <w:i/>
          <w:iCs/>
          <w:color w:val="000000" w:themeColor="text1"/>
          <w:sz w:val="18"/>
          <w:szCs w:val="18"/>
          <w:lang w:val="en-US"/>
        </w:rPr>
        <w:t>darstellung</w:t>
      </w:r>
      <w:proofErr w:type="spellEnd"/>
      <w:r w:rsidRPr="00C073EA">
        <w:rPr>
          <w:rFonts w:ascii="Garamond" w:hAnsi="Garamond"/>
          <w:color w:val="000000" w:themeColor="text1"/>
          <w:sz w:val="18"/>
          <w:szCs w:val="18"/>
          <w:lang w:val="en-US"/>
        </w:rPr>
        <w:t xml:space="preserve">, which is more aesthetically inclined in the sense of display. That Habermas uses </w:t>
      </w:r>
      <w:proofErr w:type="spellStart"/>
      <w:r w:rsidRPr="00C073EA">
        <w:rPr>
          <w:rFonts w:ascii="Garamond" w:hAnsi="Garamond"/>
          <w:color w:val="000000" w:themeColor="text1"/>
          <w:sz w:val="18"/>
          <w:szCs w:val="18"/>
          <w:lang w:val="en-US"/>
        </w:rPr>
        <w:t>darstellung</w:t>
      </w:r>
      <w:proofErr w:type="spellEnd"/>
      <w:r w:rsidRPr="00C073EA">
        <w:rPr>
          <w:rFonts w:ascii="Garamond" w:hAnsi="Garamond"/>
          <w:color w:val="000000" w:themeColor="text1"/>
          <w:sz w:val="18"/>
          <w:szCs w:val="18"/>
          <w:lang w:val="en-US"/>
        </w:rPr>
        <w:t xml:space="preserve"> underscores the reliance of publicity on the aesthetic rather than verbal realm. On the distinction between </w:t>
      </w:r>
      <w:proofErr w:type="spellStart"/>
      <w:r w:rsidRPr="00C073EA">
        <w:rPr>
          <w:rFonts w:ascii="Garamond" w:hAnsi="Garamond"/>
          <w:i/>
          <w:iCs/>
          <w:color w:val="000000" w:themeColor="text1"/>
          <w:sz w:val="18"/>
          <w:szCs w:val="18"/>
          <w:lang w:val="en-US"/>
        </w:rPr>
        <w:t>vertreten</w:t>
      </w:r>
      <w:proofErr w:type="spellEnd"/>
      <w:r w:rsidRPr="00C073EA">
        <w:rPr>
          <w:rFonts w:ascii="Garamond" w:hAnsi="Garamond"/>
          <w:i/>
          <w:iCs/>
          <w:color w:val="000000" w:themeColor="text1"/>
          <w:sz w:val="18"/>
          <w:szCs w:val="18"/>
          <w:lang w:val="en-US"/>
        </w:rPr>
        <w:t xml:space="preserve"> </w:t>
      </w:r>
      <w:r w:rsidRPr="00C073EA">
        <w:rPr>
          <w:rFonts w:ascii="Garamond" w:hAnsi="Garamond"/>
          <w:color w:val="000000" w:themeColor="text1"/>
          <w:sz w:val="18"/>
          <w:szCs w:val="18"/>
          <w:lang w:val="en-US"/>
        </w:rPr>
        <w:t>and</w:t>
      </w:r>
      <w:r w:rsidRPr="00C073EA">
        <w:rPr>
          <w:rFonts w:ascii="Garamond" w:hAnsi="Garamond"/>
          <w:i/>
          <w:iCs/>
          <w:color w:val="000000" w:themeColor="text1"/>
          <w:sz w:val="18"/>
          <w:szCs w:val="18"/>
          <w:lang w:val="en-US"/>
        </w:rPr>
        <w:t xml:space="preserve"> </w:t>
      </w:r>
      <w:proofErr w:type="spellStart"/>
      <w:r w:rsidRPr="00C073EA">
        <w:rPr>
          <w:rFonts w:ascii="Garamond" w:hAnsi="Garamond"/>
          <w:i/>
          <w:iCs/>
          <w:color w:val="000000" w:themeColor="text1"/>
          <w:sz w:val="18"/>
          <w:szCs w:val="18"/>
          <w:lang w:val="en-US"/>
        </w:rPr>
        <w:t>darstellen</w:t>
      </w:r>
      <w:proofErr w:type="spellEnd"/>
      <w:r w:rsidRPr="00C073EA">
        <w:rPr>
          <w:rFonts w:ascii="Garamond" w:hAnsi="Garamond"/>
          <w:i/>
          <w:iCs/>
          <w:color w:val="000000" w:themeColor="text1"/>
          <w:sz w:val="18"/>
          <w:szCs w:val="18"/>
          <w:lang w:val="en-US"/>
        </w:rPr>
        <w:t xml:space="preserve">, </w:t>
      </w:r>
      <w:r w:rsidRPr="00C073EA">
        <w:rPr>
          <w:rFonts w:ascii="Garamond" w:hAnsi="Garamond"/>
          <w:color w:val="000000" w:themeColor="text1"/>
          <w:sz w:val="18"/>
          <w:szCs w:val="18"/>
          <w:lang w:val="en-US"/>
        </w:rPr>
        <w:t xml:space="preserve">see Gayatri Spivak, </w:t>
      </w:r>
      <w:r w:rsidRPr="00C073EA">
        <w:rPr>
          <w:rFonts w:ascii="Garamond" w:hAnsi="Garamond"/>
          <w:i/>
          <w:iCs/>
          <w:color w:val="000000" w:themeColor="text1"/>
          <w:sz w:val="18"/>
          <w:szCs w:val="18"/>
          <w:lang w:val="en-US"/>
        </w:rPr>
        <w:t>A Critique of Postcolonial Reason</w:t>
      </w:r>
      <w:r w:rsidRPr="00C073EA">
        <w:rPr>
          <w:rFonts w:ascii="Garamond" w:hAnsi="Garamond"/>
          <w:color w:val="000000" w:themeColor="text1"/>
          <w:sz w:val="18"/>
          <w:szCs w:val="18"/>
          <w:lang w:val="en-US"/>
        </w:rPr>
        <w:t>, 256.</w:t>
      </w:r>
    </w:p>
  </w:footnote>
  <w:footnote w:id="24">
    <w:p w14:paraId="363C501D" w14:textId="77777777" w:rsidR="007146F4" w:rsidRPr="00765407" w:rsidRDefault="007146F4" w:rsidP="007146F4">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w:t>
      </w:r>
      <w:proofErr w:type="spellStart"/>
      <w:r w:rsidRPr="00765407">
        <w:rPr>
          <w:rFonts w:ascii="Garamond" w:hAnsi="Garamond"/>
          <w:color w:val="000000" w:themeColor="text1"/>
          <w:sz w:val="18"/>
          <w:szCs w:val="18"/>
          <w:lang w:val="en-US"/>
        </w:rPr>
        <w:t>Kantorowicz</w:t>
      </w:r>
      <w:proofErr w:type="spellEnd"/>
      <w:r w:rsidRPr="00765407">
        <w:rPr>
          <w:rFonts w:ascii="Garamond" w:hAnsi="Garamond"/>
          <w:color w:val="000000" w:themeColor="text1"/>
          <w:sz w:val="18"/>
          <w:szCs w:val="18"/>
          <w:lang w:val="en-US"/>
        </w:rPr>
        <w:t xml:space="preserve">, </w:t>
      </w:r>
      <w:r w:rsidRPr="00765407">
        <w:rPr>
          <w:rFonts w:ascii="Garamond" w:hAnsi="Garamond"/>
          <w:i/>
          <w:iCs/>
          <w:color w:val="000000" w:themeColor="text1"/>
          <w:sz w:val="18"/>
          <w:szCs w:val="18"/>
          <w:lang w:val="en-US"/>
        </w:rPr>
        <w:t xml:space="preserve">The King’s Two Bodies: A Study in Medieval Political Theology </w:t>
      </w:r>
      <w:r w:rsidRPr="00765407">
        <w:rPr>
          <w:rFonts w:ascii="Garamond" w:hAnsi="Garamond"/>
          <w:color w:val="000000" w:themeColor="text1"/>
          <w:sz w:val="18"/>
          <w:szCs w:val="18"/>
          <w:lang w:val="en-US"/>
        </w:rPr>
        <w:t>(Princeton University Press, 2016),</w:t>
      </w:r>
      <w:r w:rsidRPr="00765407">
        <w:rPr>
          <w:rFonts w:ascii="Garamond" w:hAnsi="Garamond"/>
          <w:i/>
          <w:iCs/>
          <w:color w:val="000000" w:themeColor="text1"/>
          <w:sz w:val="18"/>
          <w:szCs w:val="18"/>
          <w:lang w:val="en-US"/>
        </w:rPr>
        <w:t xml:space="preserve"> </w:t>
      </w:r>
      <w:r w:rsidRPr="00765407">
        <w:rPr>
          <w:rFonts w:ascii="Garamond" w:hAnsi="Garamond"/>
          <w:iCs/>
          <w:color w:val="000000" w:themeColor="text1"/>
          <w:sz w:val="18"/>
          <w:szCs w:val="18"/>
        </w:rPr>
        <w:t>9.</w:t>
      </w:r>
    </w:p>
  </w:footnote>
  <w:footnote w:id="25">
    <w:p w14:paraId="42DA4632" w14:textId="77777777" w:rsidR="007146F4" w:rsidRPr="00765407" w:rsidRDefault="007146F4" w:rsidP="007146F4">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w:t>
      </w:r>
      <w:r w:rsidRPr="00765407">
        <w:rPr>
          <w:rFonts w:ascii="Garamond" w:hAnsi="Garamond"/>
          <w:iCs/>
          <w:color w:val="000000" w:themeColor="text1"/>
          <w:sz w:val="18"/>
          <w:szCs w:val="18"/>
        </w:rPr>
        <w:t>At the 17</w:t>
      </w:r>
      <w:r w:rsidRPr="00765407">
        <w:rPr>
          <w:rFonts w:ascii="Garamond" w:hAnsi="Garamond"/>
          <w:iCs/>
          <w:color w:val="000000" w:themeColor="text1"/>
          <w:sz w:val="18"/>
          <w:szCs w:val="18"/>
          <w:vertAlign w:val="superscript"/>
        </w:rPr>
        <w:t>th</w:t>
      </w:r>
      <w:r w:rsidRPr="00765407">
        <w:rPr>
          <w:rFonts w:ascii="Garamond" w:hAnsi="Garamond"/>
          <w:iCs/>
          <w:color w:val="000000" w:themeColor="text1"/>
          <w:sz w:val="18"/>
          <w:szCs w:val="18"/>
        </w:rPr>
        <w:t xml:space="preserve"> century French court, for instance, the roy</w:t>
      </w:r>
      <w:r w:rsidRPr="00765407">
        <w:rPr>
          <w:rFonts w:ascii="Garamond" w:hAnsi="Garamond"/>
          <w:color w:val="000000" w:themeColor="text1"/>
          <w:sz w:val="18"/>
          <w:szCs w:val="18"/>
        </w:rPr>
        <w:t xml:space="preserve">al </w:t>
      </w:r>
      <w:r w:rsidRPr="00765407">
        <w:rPr>
          <w:rFonts w:ascii="Garamond" w:hAnsi="Garamond"/>
          <w:i/>
          <w:iCs/>
          <w:color w:val="000000" w:themeColor="text1"/>
          <w:sz w:val="18"/>
          <w:szCs w:val="18"/>
        </w:rPr>
        <w:t>levée</w:t>
      </w:r>
      <w:r w:rsidRPr="00765407">
        <w:rPr>
          <w:rFonts w:ascii="Garamond" w:hAnsi="Garamond"/>
          <w:color w:val="000000" w:themeColor="text1"/>
          <w:sz w:val="18"/>
          <w:szCs w:val="18"/>
        </w:rPr>
        <w:t xml:space="preserve"> was a daily ceremonial custom, where six different groups of people would enter the royal bedchamber in turns after the king’s waking, and a lucky few would aid in his dressing: one man to lay out his robe, two to take off his nightshirt, two to put on his day shirt, another to fasten his shoes, buckle his dagger, put on his coat, etc., all the while a growing group of spectators looked on. Norbert </w:t>
      </w:r>
      <w:r w:rsidRPr="00765407">
        <w:rPr>
          <w:rFonts w:ascii="Garamond" w:hAnsi="Garamond"/>
          <w:color w:val="000000" w:themeColor="text1"/>
          <w:sz w:val="18"/>
          <w:szCs w:val="18"/>
          <w:lang w:val="en-US"/>
        </w:rPr>
        <w:t xml:space="preserve">Elias, </w:t>
      </w:r>
      <w:r w:rsidRPr="00765407">
        <w:rPr>
          <w:rFonts w:ascii="Garamond" w:hAnsi="Garamond"/>
          <w:i/>
          <w:iCs/>
          <w:color w:val="000000" w:themeColor="text1"/>
          <w:sz w:val="18"/>
          <w:szCs w:val="18"/>
          <w:lang w:val="en-US"/>
        </w:rPr>
        <w:t>Court Society</w:t>
      </w:r>
      <w:r w:rsidRPr="00765407">
        <w:rPr>
          <w:rFonts w:ascii="Garamond" w:hAnsi="Garamond"/>
          <w:color w:val="000000" w:themeColor="text1"/>
          <w:sz w:val="18"/>
          <w:szCs w:val="18"/>
          <w:lang w:val="en-US"/>
        </w:rPr>
        <w:t xml:space="preserve">, 83-85. </w:t>
      </w:r>
    </w:p>
  </w:footnote>
  <w:footnote w:id="26">
    <w:p w14:paraId="653EFB78" w14:textId="77777777" w:rsidR="007146F4" w:rsidRPr="00C073EA" w:rsidRDefault="007146F4" w:rsidP="007146F4">
      <w:pPr>
        <w:rPr>
          <w:rFonts w:ascii="Garamond" w:hAnsi="Garamond"/>
          <w:color w:val="000000" w:themeColor="text1"/>
          <w:sz w:val="18"/>
          <w:szCs w:val="18"/>
        </w:rPr>
      </w:pPr>
      <w:r w:rsidRPr="00C073EA">
        <w:rPr>
          <w:rStyle w:val="FootnoteReference"/>
          <w:rFonts w:ascii="Garamond" w:hAnsi="Garamond"/>
          <w:color w:val="000000" w:themeColor="text1"/>
          <w:sz w:val="18"/>
          <w:szCs w:val="18"/>
        </w:rPr>
        <w:footnoteRef/>
      </w:r>
      <w:r w:rsidRPr="00C073EA">
        <w:rPr>
          <w:rFonts w:ascii="Garamond" w:hAnsi="Garamond"/>
          <w:color w:val="000000" w:themeColor="text1"/>
          <w:sz w:val="18"/>
          <w:szCs w:val="18"/>
        </w:rPr>
        <w:t xml:space="preserve"> For critiques that Habermas excludes the body from his later work in discourse ethics, see Marie Fleming, </w:t>
      </w:r>
      <w:r w:rsidRPr="00C073EA">
        <w:rPr>
          <w:rFonts w:ascii="Garamond" w:hAnsi="Garamond"/>
          <w:i/>
          <w:iCs/>
          <w:color w:val="000000" w:themeColor="text1"/>
          <w:sz w:val="18"/>
          <w:szCs w:val="18"/>
        </w:rPr>
        <w:t xml:space="preserve">Emancipation and Illusion: Rationality and Gender in Habermas's Theory of Modernity </w:t>
      </w:r>
      <w:r w:rsidRPr="00C073EA">
        <w:rPr>
          <w:rFonts w:ascii="Garamond" w:hAnsi="Garamond"/>
          <w:color w:val="000000" w:themeColor="text1"/>
          <w:sz w:val="18"/>
          <w:szCs w:val="18"/>
        </w:rPr>
        <w:t>(Penn State University Press, 1997); Iris Marion Young, “Communication and the Other: Beyond Deliberative Democracy,” in</w:t>
      </w:r>
      <w:r w:rsidRPr="00C073EA">
        <w:rPr>
          <w:rFonts w:ascii="Garamond" w:hAnsi="Garamond"/>
          <w:i/>
          <w:iCs/>
          <w:color w:val="000000" w:themeColor="text1"/>
          <w:sz w:val="18"/>
          <w:szCs w:val="18"/>
        </w:rPr>
        <w:t xml:space="preserve"> Democracy and Difference</w:t>
      </w:r>
      <w:r w:rsidRPr="00C073EA">
        <w:rPr>
          <w:rFonts w:ascii="Garamond" w:hAnsi="Garamond"/>
          <w:color w:val="000000" w:themeColor="text1"/>
          <w:sz w:val="18"/>
          <w:szCs w:val="18"/>
        </w:rPr>
        <w:t xml:space="preserve">, ed. </w:t>
      </w:r>
      <w:proofErr w:type="spellStart"/>
      <w:r w:rsidRPr="00C073EA">
        <w:rPr>
          <w:rFonts w:ascii="Garamond" w:hAnsi="Garamond"/>
          <w:color w:val="000000" w:themeColor="text1"/>
          <w:sz w:val="18"/>
          <w:szCs w:val="18"/>
        </w:rPr>
        <w:t>Seyla</w:t>
      </w:r>
      <w:proofErr w:type="spellEnd"/>
      <w:r w:rsidRPr="00C073EA">
        <w:rPr>
          <w:rFonts w:ascii="Garamond" w:hAnsi="Garamond"/>
          <w:color w:val="000000" w:themeColor="text1"/>
          <w:sz w:val="18"/>
          <w:szCs w:val="18"/>
        </w:rPr>
        <w:t xml:space="preserve"> </w:t>
      </w:r>
      <w:proofErr w:type="spellStart"/>
      <w:r w:rsidRPr="00C073EA">
        <w:rPr>
          <w:rFonts w:ascii="Garamond" w:hAnsi="Garamond"/>
          <w:color w:val="000000" w:themeColor="text1"/>
          <w:sz w:val="18"/>
          <w:szCs w:val="18"/>
        </w:rPr>
        <w:t>Benhabib</w:t>
      </w:r>
      <w:proofErr w:type="spellEnd"/>
      <w:r w:rsidRPr="00C073EA">
        <w:rPr>
          <w:rFonts w:ascii="Garamond" w:hAnsi="Garamond"/>
          <w:color w:val="000000" w:themeColor="text1"/>
          <w:sz w:val="18"/>
          <w:szCs w:val="18"/>
        </w:rPr>
        <w:t xml:space="preserve"> (Princeton University Press, 1996), 120–135; Young, </w:t>
      </w:r>
      <w:r w:rsidRPr="00C073EA">
        <w:rPr>
          <w:rFonts w:ascii="Garamond" w:hAnsi="Garamond"/>
          <w:i/>
          <w:iCs/>
          <w:color w:val="000000" w:themeColor="text1"/>
          <w:sz w:val="18"/>
          <w:szCs w:val="18"/>
        </w:rPr>
        <w:t xml:space="preserve">Inclusion and Democracy, </w:t>
      </w:r>
      <w:proofErr w:type="spellStart"/>
      <w:r w:rsidRPr="00C073EA">
        <w:rPr>
          <w:rFonts w:ascii="Garamond" w:hAnsi="Garamond"/>
          <w:color w:val="000000" w:themeColor="text1"/>
          <w:sz w:val="18"/>
          <w:szCs w:val="18"/>
        </w:rPr>
        <w:t>ch.</w:t>
      </w:r>
      <w:proofErr w:type="spellEnd"/>
      <w:r w:rsidRPr="00C073EA">
        <w:rPr>
          <w:rFonts w:ascii="Garamond" w:hAnsi="Garamond"/>
          <w:color w:val="000000" w:themeColor="text1"/>
          <w:sz w:val="18"/>
          <w:szCs w:val="18"/>
        </w:rPr>
        <w:t xml:space="preserve"> 2; </w:t>
      </w:r>
      <w:proofErr w:type="spellStart"/>
      <w:r w:rsidRPr="00C073EA">
        <w:rPr>
          <w:rFonts w:ascii="Garamond" w:hAnsi="Garamond"/>
          <w:color w:val="000000" w:themeColor="text1"/>
          <w:sz w:val="18"/>
          <w:szCs w:val="18"/>
        </w:rPr>
        <w:t>Staacy</w:t>
      </w:r>
      <w:proofErr w:type="spellEnd"/>
      <w:r w:rsidRPr="00C073EA">
        <w:rPr>
          <w:rFonts w:ascii="Garamond" w:hAnsi="Garamond"/>
          <w:color w:val="000000" w:themeColor="text1"/>
          <w:sz w:val="18"/>
          <w:szCs w:val="18"/>
        </w:rPr>
        <w:t xml:space="preserve"> Clifford, “Making Disability Public in Deliberative Democracy,” </w:t>
      </w:r>
      <w:r w:rsidRPr="00C073EA">
        <w:rPr>
          <w:rFonts w:ascii="Garamond" w:hAnsi="Garamond"/>
          <w:i/>
          <w:iCs/>
          <w:color w:val="000000" w:themeColor="text1"/>
          <w:sz w:val="18"/>
          <w:szCs w:val="18"/>
        </w:rPr>
        <w:t>Contemporary Political Theory</w:t>
      </w:r>
      <w:r w:rsidRPr="00C073EA">
        <w:rPr>
          <w:rFonts w:ascii="Garamond" w:hAnsi="Garamond"/>
          <w:color w:val="000000" w:themeColor="text1"/>
          <w:sz w:val="18"/>
          <w:szCs w:val="18"/>
        </w:rPr>
        <w:t xml:space="preserve"> 11, 2 (2012): 211–228; Amanda Machin, “Deliberating Bodies: Democracy, Identification, and Embodiment,” </w:t>
      </w:r>
      <w:r w:rsidRPr="00C073EA">
        <w:rPr>
          <w:rFonts w:ascii="Garamond" w:hAnsi="Garamond"/>
          <w:i/>
          <w:iCs/>
          <w:color w:val="000000" w:themeColor="text1"/>
          <w:sz w:val="18"/>
          <w:szCs w:val="18"/>
        </w:rPr>
        <w:t>Democratic Theory</w:t>
      </w:r>
      <w:r w:rsidRPr="00C073EA">
        <w:rPr>
          <w:rFonts w:ascii="Garamond" w:hAnsi="Garamond"/>
          <w:color w:val="000000" w:themeColor="text1"/>
          <w:sz w:val="18"/>
          <w:szCs w:val="18"/>
        </w:rPr>
        <w:t xml:space="preserve">, 2 (2015): 42-62; </w:t>
      </w:r>
    </w:p>
  </w:footnote>
  <w:footnote w:id="27">
    <w:p w14:paraId="3C421CDC" w14:textId="77777777" w:rsidR="007146F4" w:rsidRPr="00C073EA" w:rsidRDefault="007146F4" w:rsidP="007146F4">
      <w:pPr>
        <w:pStyle w:val="FootnoteText"/>
        <w:rPr>
          <w:rFonts w:ascii="Garamond" w:hAnsi="Garamond"/>
          <w:color w:val="000000" w:themeColor="text1"/>
          <w:sz w:val="18"/>
          <w:szCs w:val="18"/>
          <w:lang w:val="en-US"/>
        </w:rPr>
      </w:pPr>
      <w:r w:rsidRPr="00C073EA">
        <w:rPr>
          <w:rStyle w:val="FootnoteReference"/>
          <w:rFonts w:ascii="Garamond" w:hAnsi="Garamond"/>
          <w:color w:val="000000" w:themeColor="text1"/>
          <w:sz w:val="18"/>
          <w:szCs w:val="18"/>
        </w:rPr>
        <w:footnoteRef/>
      </w:r>
      <w:r w:rsidRPr="00C073EA">
        <w:rPr>
          <w:rFonts w:ascii="Garamond" w:hAnsi="Garamond"/>
          <w:color w:val="000000" w:themeColor="text1"/>
          <w:sz w:val="18"/>
          <w:szCs w:val="18"/>
        </w:rPr>
        <w:t xml:space="preserve"> Habermas, </w:t>
      </w:r>
      <w:r w:rsidRPr="00C073EA">
        <w:rPr>
          <w:rFonts w:ascii="Garamond" w:hAnsi="Garamond"/>
          <w:i/>
          <w:iCs/>
          <w:color w:val="000000" w:themeColor="text1"/>
          <w:sz w:val="18"/>
          <w:szCs w:val="18"/>
        </w:rPr>
        <w:t xml:space="preserve">Structural Transformation, </w:t>
      </w:r>
      <w:r w:rsidRPr="00C073EA">
        <w:rPr>
          <w:rFonts w:ascii="Garamond" w:hAnsi="Garamond" w:cs="Arial"/>
          <w:color w:val="000000" w:themeColor="text1"/>
          <w:sz w:val="18"/>
          <w:szCs w:val="18"/>
          <w:shd w:val="clear" w:color="auto" w:fill="FFFFFF"/>
        </w:rPr>
        <w:t>14. Though these transformations are not understood to be the structural transformations referenced by Habermas’s title, which are intended to refer to the public sphere’s degradation, I suggest that we should consider these structural transformations to be integral to Habermas’s overall account, as they make possible the emergence of the public sphere.</w:t>
      </w:r>
    </w:p>
  </w:footnote>
  <w:footnote w:id="28">
    <w:p w14:paraId="4F59FDD6" w14:textId="77777777" w:rsidR="007146F4" w:rsidRPr="00C073EA" w:rsidRDefault="007146F4" w:rsidP="007146F4">
      <w:pPr>
        <w:pStyle w:val="FootnoteText"/>
        <w:rPr>
          <w:rFonts w:ascii="Garamond" w:hAnsi="Garamond"/>
          <w:color w:val="000000" w:themeColor="text1"/>
          <w:sz w:val="18"/>
          <w:szCs w:val="18"/>
          <w:lang w:val="en-US"/>
        </w:rPr>
      </w:pPr>
      <w:r w:rsidRPr="00C073EA">
        <w:rPr>
          <w:rStyle w:val="FootnoteReference"/>
          <w:rFonts w:ascii="Garamond" w:hAnsi="Garamond"/>
          <w:color w:val="000000" w:themeColor="text1"/>
          <w:sz w:val="18"/>
          <w:szCs w:val="18"/>
        </w:rPr>
        <w:footnoteRef/>
      </w:r>
      <w:r w:rsidRPr="00C073EA">
        <w:rPr>
          <w:rFonts w:ascii="Garamond" w:hAnsi="Garamond"/>
          <w:color w:val="000000" w:themeColor="text1"/>
          <w:sz w:val="18"/>
          <w:szCs w:val="18"/>
        </w:rPr>
        <w:t xml:space="preserve"> </w:t>
      </w:r>
      <w:r w:rsidRPr="00C073EA">
        <w:rPr>
          <w:rFonts w:ascii="Garamond" w:hAnsi="Garamond" w:cs="Arial"/>
          <w:color w:val="000000" w:themeColor="text1"/>
          <w:sz w:val="18"/>
          <w:szCs w:val="18"/>
          <w:shd w:val="clear" w:color="auto" w:fill="FFFFFF"/>
        </w:rPr>
        <w:t xml:space="preserve">Habermas, </w:t>
      </w:r>
      <w:r w:rsidRPr="00C073EA">
        <w:rPr>
          <w:rFonts w:ascii="Garamond" w:hAnsi="Garamond"/>
          <w:i/>
          <w:iCs/>
          <w:color w:val="000000" w:themeColor="text1"/>
          <w:sz w:val="18"/>
          <w:szCs w:val="18"/>
        </w:rPr>
        <w:t>Structural Transformation,</w:t>
      </w:r>
      <w:r w:rsidRPr="00C073EA">
        <w:rPr>
          <w:rFonts w:ascii="Garamond" w:hAnsi="Garamond" w:cs="Arial"/>
          <w:color w:val="000000" w:themeColor="text1"/>
          <w:sz w:val="18"/>
          <w:szCs w:val="18"/>
          <w:shd w:val="clear" w:color="auto" w:fill="FFFFFF"/>
        </w:rPr>
        <w:t xml:space="preserve"> 17.</w:t>
      </w:r>
    </w:p>
  </w:footnote>
  <w:footnote w:id="29">
    <w:p w14:paraId="4A6BD362" w14:textId="77777777" w:rsidR="007146F4" w:rsidRPr="00C073EA" w:rsidRDefault="007146F4" w:rsidP="007146F4">
      <w:pPr>
        <w:pStyle w:val="FootnoteText"/>
        <w:rPr>
          <w:rFonts w:ascii="Garamond" w:hAnsi="Garamond"/>
          <w:color w:val="000000" w:themeColor="text1"/>
          <w:sz w:val="18"/>
          <w:szCs w:val="18"/>
          <w:lang w:val="en-US"/>
        </w:rPr>
      </w:pPr>
      <w:r w:rsidRPr="00C073EA">
        <w:rPr>
          <w:rStyle w:val="FootnoteReference"/>
          <w:rFonts w:ascii="Garamond" w:hAnsi="Garamond"/>
          <w:color w:val="000000" w:themeColor="text1"/>
          <w:sz w:val="18"/>
          <w:szCs w:val="18"/>
        </w:rPr>
        <w:footnoteRef/>
      </w:r>
      <w:r w:rsidRPr="00C073EA">
        <w:rPr>
          <w:rFonts w:ascii="Garamond" w:hAnsi="Garamond"/>
          <w:color w:val="000000" w:themeColor="text1"/>
          <w:sz w:val="18"/>
          <w:szCs w:val="18"/>
        </w:rPr>
        <w:t xml:space="preserve"> Habermas, </w:t>
      </w:r>
      <w:r w:rsidRPr="00C073EA">
        <w:rPr>
          <w:rFonts w:ascii="Garamond" w:hAnsi="Garamond"/>
          <w:i/>
          <w:iCs/>
          <w:color w:val="000000" w:themeColor="text1"/>
          <w:sz w:val="18"/>
          <w:szCs w:val="18"/>
        </w:rPr>
        <w:t xml:space="preserve">Structural Transformation, </w:t>
      </w:r>
      <w:r w:rsidRPr="00C073EA">
        <w:rPr>
          <w:rFonts w:ascii="Garamond" w:hAnsi="Garamond" w:cs="Arial"/>
          <w:color w:val="000000" w:themeColor="text1"/>
          <w:sz w:val="18"/>
          <w:szCs w:val="18"/>
          <w:shd w:val="clear" w:color="auto" w:fill="FFFFFF"/>
        </w:rPr>
        <w:t>17, 18.</w:t>
      </w:r>
    </w:p>
  </w:footnote>
  <w:footnote w:id="30">
    <w:p w14:paraId="25992BDF" w14:textId="77777777" w:rsidR="007146F4" w:rsidRPr="00C073EA" w:rsidRDefault="007146F4" w:rsidP="007146F4">
      <w:pPr>
        <w:pStyle w:val="FootnoteText"/>
        <w:rPr>
          <w:rFonts w:ascii="Garamond" w:hAnsi="Garamond"/>
          <w:color w:val="000000" w:themeColor="text1"/>
          <w:sz w:val="18"/>
          <w:szCs w:val="18"/>
          <w:lang w:val="en-US"/>
        </w:rPr>
      </w:pPr>
      <w:r w:rsidRPr="00C073EA">
        <w:rPr>
          <w:rStyle w:val="FootnoteReference"/>
          <w:rFonts w:ascii="Garamond" w:hAnsi="Garamond"/>
          <w:color w:val="000000" w:themeColor="text1"/>
          <w:sz w:val="18"/>
          <w:szCs w:val="18"/>
        </w:rPr>
        <w:footnoteRef/>
      </w:r>
      <w:r w:rsidRPr="00C073EA">
        <w:rPr>
          <w:rFonts w:ascii="Garamond" w:hAnsi="Garamond"/>
          <w:color w:val="000000" w:themeColor="text1"/>
          <w:sz w:val="18"/>
          <w:szCs w:val="18"/>
        </w:rPr>
        <w:t xml:space="preserve"> </w:t>
      </w:r>
      <w:r w:rsidRPr="00C073EA">
        <w:rPr>
          <w:rFonts w:ascii="Garamond" w:hAnsi="Garamond" w:cs="Arial"/>
          <w:color w:val="000000" w:themeColor="text1"/>
          <w:sz w:val="18"/>
          <w:szCs w:val="18"/>
          <w:shd w:val="clear" w:color="auto" w:fill="FFFFFF"/>
        </w:rPr>
        <w:t xml:space="preserve">Habermas, </w:t>
      </w:r>
      <w:r w:rsidRPr="00C073EA">
        <w:rPr>
          <w:rFonts w:ascii="Garamond" w:hAnsi="Garamond" w:cs="Arial"/>
          <w:i/>
          <w:iCs/>
          <w:color w:val="000000" w:themeColor="text1"/>
          <w:sz w:val="18"/>
          <w:szCs w:val="18"/>
          <w:shd w:val="clear" w:color="auto" w:fill="FFFFFF"/>
        </w:rPr>
        <w:t xml:space="preserve">Structural Transformation, </w:t>
      </w:r>
      <w:r w:rsidRPr="00C073EA">
        <w:rPr>
          <w:rFonts w:ascii="Garamond" w:hAnsi="Garamond" w:cs="Arial"/>
          <w:color w:val="000000" w:themeColor="text1"/>
          <w:sz w:val="18"/>
          <w:szCs w:val="18"/>
          <w:shd w:val="clear" w:color="auto" w:fill="FFFFFF"/>
        </w:rPr>
        <w:t>18.</w:t>
      </w:r>
    </w:p>
  </w:footnote>
  <w:footnote w:id="31">
    <w:p w14:paraId="0034D89E" w14:textId="77777777" w:rsidR="007146F4" w:rsidRPr="00C073EA" w:rsidRDefault="007146F4" w:rsidP="007146F4">
      <w:pPr>
        <w:pStyle w:val="FootnoteText"/>
        <w:rPr>
          <w:rFonts w:ascii="Garamond" w:hAnsi="Garamond"/>
          <w:color w:val="000000" w:themeColor="text1"/>
          <w:sz w:val="18"/>
          <w:szCs w:val="18"/>
        </w:rPr>
      </w:pPr>
      <w:r w:rsidRPr="00C073EA">
        <w:rPr>
          <w:rStyle w:val="FootnoteReference"/>
          <w:rFonts w:ascii="Garamond" w:eastAsiaTheme="majorEastAsia" w:hAnsi="Garamond"/>
          <w:color w:val="000000" w:themeColor="text1"/>
          <w:sz w:val="18"/>
          <w:szCs w:val="18"/>
        </w:rPr>
        <w:footnoteRef/>
      </w:r>
      <w:r w:rsidRPr="00C073EA">
        <w:rPr>
          <w:rFonts w:ascii="Garamond" w:hAnsi="Garamond"/>
          <w:color w:val="000000" w:themeColor="text1"/>
          <w:sz w:val="18"/>
          <w:szCs w:val="18"/>
        </w:rPr>
        <w:t xml:space="preserve"> Michael </w:t>
      </w:r>
      <w:proofErr w:type="spellStart"/>
      <w:r w:rsidRPr="00C073EA">
        <w:rPr>
          <w:rFonts w:ascii="Garamond" w:hAnsi="Garamond"/>
          <w:color w:val="000000" w:themeColor="text1"/>
          <w:sz w:val="18"/>
          <w:szCs w:val="18"/>
        </w:rPr>
        <w:t>Braddick</w:t>
      </w:r>
      <w:proofErr w:type="spellEnd"/>
      <w:r w:rsidRPr="00C073EA">
        <w:rPr>
          <w:rFonts w:ascii="Garamond" w:hAnsi="Garamond"/>
          <w:color w:val="000000" w:themeColor="text1"/>
          <w:sz w:val="18"/>
          <w:szCs w:val="18"/>
        </w:rPr>
        <w:t xml:space="preserve">, </w:t>
      </w:r>
      <w:r w:rsidRPr="00C073EA">
        <w:rPr>
          <w:rFonts w:ascii="Garamond" w:hAnsi="Garamond"/>
          <w:i/>
          <w:iCs/>
          <w:color w:val="000000" w:themeColor="text1"/>
          <w:sz w:val="18"/>
          <w:szCs w:val="18"/>
        </w:rPr>
        <w:t xml:space="preserve">State Formation in Early Modern England, </w:t>
      </w:r>
      <w:r w:rsidRPr="00C073EA">
        <w:rPr>
          <w:rFonts w:ascii="Garamond" w:hAnsi="Garamond"/>
          <w:color w:val="000000" w:themeColor="text1"/>
          <w:sz w:val="18"/>
          <w:szCs w:val="18"/>
        </w:rPr>
        <w:t xml:space="preserve">264 similarly argues that the “1660s saw something of a still-born financial revolution. This implied a </w:t>
      </w:r>
      <w:r w:rsidRPr="00C073EA">
        <w:rPr>
          <w:rFonts w:ascii="Garamond" w:hAnsi="Garamond"/>
          <w:i/>
          <w:iCs/>
          <w:color w:val="000000" w:themeColor="text1"/>
          <w:sz w:val="18"/>
          <w:szCs w:val="18"/>
        </w:rPr>
        <w:t>reduction in the personal authority of the monarch in that in that it appeared to transform the royal debt into a public debt</w:t>
      </w:r>
      <w:r w:rsidRPr="00C073EA">
        <w:rPr>
          <w:rFonts w:ascii="Garamond" w:hAnsi="Garamond"/>
          <w:color w:val="000000" w:themeColor="text1"/>
          <w:sz w:val="18"/>
          <w:szCs w:val="18"/>
        </w:rPr>
        <w:t xml:space="preserve">…. The power of the monarch, </w:t>
      </w:r>
      <w:r w:rsidRPr="00C073EA">
        <w:rPr>
          <w:rFonts w:ascii="Garamond" w:hAnsi="Garamond"/>
          <w:sz w:val="18"/>
          <w:szCs w:val="18"/>
        </w:rPr>
        <w:t>as medievalists would surely point out,</w:t>
      </w:r>
      <w:r w:rsidRPr="00C073EA">
        <w:rPr>
          <w:rFonts w:ascii="Garamond" w:hAnsi="Garamond"/>
          <w:color w:val="000000" w:themeColor="text1"/>
          <w:sz w:val="18"/>
          <w:szCs w:val="18"/>
        </w:rPr>
        <w:t xml:space="preserve"> was not ‘personal’ in a literal sense, and had been tied to a sense of the public good for some time. But here, the location of this </w:t>
      </w:r>
      <w:r w:rsidRPr="00C073EA">
        <w:rPr>
          <w:rFonts w:ascii="Garamond" w:hAnsi="Garamond"/>
          <w:i/>
          <w:iCs/>
          <w:color w:val="000000" w:themeColor="text1"/>
          <w:sz w:val="18"/>
          <w:szCs w:val="18"/>
        </w:rPr>
        <w:t>political authority was abstracted still further</w:t>
      </w:r>
      <w:r w:rsidRPr="00C073EA">
        <w:rPr>
          <w:rFonts w:ascii="Garamond" w:hAnsi="Garamond"/>
          <w:color w:val="000000" w:themeColor="text1"/>
          <w:sz w:val="18"/>
          <w:szCs w:val="18"/>
        </w:rPr>
        <w:t xml:space="preserve"> – the security of the debt increasingly dissociated from the word of any individual. It lay, instead, with the state” (emphasis added). </w:t>
      </w:r>
    </w:p>
  </w:footnote>
  <w:footnote w:id="32">
    <w:p w14:paraId="50DC3BA1"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proofErr w:type="spellStart"/>
      <w:r w:rsidRPr="00765407">
        <w:rPr>
          <w:rFonts w:ascii="Garamond" w:hAnsi="Garamond"/>
          <w:sz w:val="18"/>
          <w:szCs w:val="18"/>
        </w:rPr>
        <w:t>Lefort</w:t>
      </w:r>
      <w:proofErr w:type="spellEnd"/>
      <w:r w:rsidRPr="00765407">
        <w:rPr>
          <w:rFonts w:ascii="Garamond" w:hAnsi="Garamond"/>
          <w:sz w:val="18"/>
          <w:szCs w:val="18"/>
        </w:rPr>
        <w:t>, “</w:t>
      </w:r>
      <w:r w:rsidRPr="00765407">
        <w:rPr>
          <w:rFonts w:ascii="Garamond" w:hAnsi="Garamond"/>
          <w:iCs/>
          <w:sz w:val="18"/>
          <w:szCs w:val="18"/>
        </w:rPr>
        <w:t>Image of the body and totalitarianism,” 303.</w:t>
      </w:r>
    </w:p>
  </w:footnote>
  <w:footnote w:id="33">
    <w:p w14:paraId="01ECFF90"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r w:rsidRPr="00765407">
        <w:rPr>
          <w:rFonts w:ascii="Garamond" w:hAnsi="Garamond"/>
          <w:iCs/>
          <w:sz w:val="18"/>
          <w:szCs w:val="18"/>
        </w:rPr>
        <w:t xml:space="preserve">Claude </w:t>
      </w:r>
      <w:proofErr w:type="spellStart"/>
      <w:r w:rsidRPr="00765407">
        <w:rPr>
          <w:rFonts w:ascii="Garamond" w:hAnsi="Garamond"/>
          <w:iCs/>
          <w:sz w:val="18"/>
          <w:szCs w:val="18"/>
        </w:rPr>
        <w:t>Lefort</w:t>
      </w:r>
      <w:proofErr w:type="spellEnd"/>
      <w:r w:rsidRPr="00765407">
        <w:rPr>
          <w:rFonts w:ascii="Garamond" w:hAnsi="Garamond"/>
          <w:iCs/>
          <w:sz w:val="18"/>
          <w:szCs w:val="18"/>
        </w:rPr>
        <w:t xml:space="preserve">, “Democracy and Totalitarianism,” 279, </w:t>
      </w:r>
    </w:p>
  </w:footnote>
  <w:footnote w:id="34">
    <w:p w14:paraId="0D34B7AB"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proofErr w:type="spellStart"/>
      <w:r w:rsidRPr="00765407">
        <w:rPr>
          <w:rFonts w:ascii="Garamond" w:hAnsi="Garamond"/>
          <w:iCs/>
          <w:sz w:val="18"/>
          <w:szCs w:val="18"/>
        </w:rPr>
        <w:t>Lefort</w:t>
      </w:r>
      <w:proofErr w:type="spellEnd"/>
      <w:r w:rsidRPr="00765407">
        <w:rPr>
          <w:rFonts w:ascii="Garamond" w:hAnsi="Garamond"/>
          <w:iCs/>
          <w:sz w:val="18"/>
          <w:szCs w:val="18"/>
        </w:rPr>
        <w:t>, “Image of the Body,” 303.</w:t>
      </w:r>
    </w:p>
  </w:footnote>
  <w:footnote w:id="35">
    <w:p w14:paraId="3A76C2AF"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proofErr w:type="spellStart"/>
      <w:r w:rsidRPr="00765407">
        <w:rPr>
          <w:rFonts w:ascii="Garamond" w:hAnsi="Garamond"/>
          <w:iCs/>
          <w:sz w:val="18"/>
          <w:szCs w:val="18"/>
        </w:rPr>
        <w:t>Lefort</w:t>
      </w:r>
      <w:proofErr w:type="spellEnd"/>
      <w:r w:rsidRPr="00765407">
        <w:rPr>
          <w:rFonts w:ascii="Garamond" w:hAnsi="Garamond"/>
          <w:iCs/>
          <w:sz w:val="18"/>
          <w:szCs w:val="18"/>
        </w:rPr>
        <w:t>, “Image of the Body,” 304).</w:t>
      </w:r>
    </w:p>
  </w:footnote>
  <w:footnote w:id="36">
    <w:p w14:paraId="791789D0"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proofErr w:type="spellStart"/>
      <w:r w:rsidRPr="00765407">
        <w:rPr>
          <w:rFonts w:ascii="Garamond" w:hAnsi="Garamond"/>
          <w:iCs/>
          <w:sz w:val="18"/>
          <w:szCs w:val="18"/>
        </w:rPr>
        <w:t>Lefort</w:t>
      </w:r>
      <w:proofErr w:type="spellEnd"/>
      <w:r w:rsidRPr="00765407">
        <w:rPr>
          <w:rFonts w:ascii="Garamond" w:hAnsi="Garamond"/>
          <w:iCs/>
          <w:sz w:val="18"/>
          <w:szCs w:val="18"/>
        </w:rPr>
        <w:t>, “Question of Democracy,” 17.</w:t>
      </w:r>
    </w:p>
  </w:footnote>
  <w:footnote w:id="37">
    <w:p w14:paraId="170EF364" w14:textId="77777777" w:rsidR="0090120A" w:rsidRPr="00765407" w:rsidRDefault="0090120A" w:rsidP="0090120A">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proofErr w:type="spellStart"/>
      <w:r w:rsidRPr="00765407">
        <w:rPr>
          <w:rFonts w:ascii="Garamond" w:hAnsi="Garamond"/>
          <w:iCs/>
          <w:sz w:val="18"/>
          <w:szCs w:val="18"/>
        </w:rPr>
        <w:t>Lefort</w:t>
      </w:r>
      <w:proofErr w:type="spellEnd"/>
      <w:r w:rsidRPr="00765407">
        <w:rPr>
          <w:rFonts w:ascii="Garamond" w:hAnsi="Garamond"/>
          <w:iCs/>
          <w:sz w:val="18"/>
          <w:szCs w:val="18"/>
        </w:rPr>
        <w:t>, “Permanence of the theological political,” 225</w:t>
      </w:r>
    </w:p>
  </w:footnote>
  <w:footnote w:id="38">
    <w:p w14:paraId="514037D1" w14:textId="51ADFAAB" w:rsidR="0090120A" w:rsidRPr="00AD4E3F" w:rsidRDefault="0090120A">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w:t>
      </w:r>
      <w:proofErr w:type="spellStart"/>
      <w:r w:rsidRPr="00765407">
        <w:rPr>
          <w:rFonts w:ascii="Garamond" w:hAnsi="Garamond"/>
          <w:sz w:val="18"/>
          <w:szCs w:val="18"/>
        </w:rPr>
        <w:t>Lefort’s</w:t>
      </w:r>
      <w:proofErr w:type="spellEnd"/>
      <w:r w:rsidRPr="00765407">
        <w:rPr>
          <w:rFonts w:ascii="Garamond" w:hAnsi="Garamond"/>
          <w:sz w:val="18"/>
          <w:szCs w:val="18"/>
        </w:rPr>
        <w:t xml:space="preserve"> vision depends on institution of the election.</w:t>
      </w:r>
      <w:r w:rsidR="00AD4E3F">
        <w:rPr>
          <w:rFonts w:ascii="Garamond" w:hAnsi="Garamond"/>
          <w:b/>
          <w:bCs/>
          <w:sz w:val="18"/>
          <w:szCs w:val="18"/>
        </w:rPr>
        <w:t xml:space="preserve"> </w:t>
      </w:r>
      <w:r w:rsidR="00AD4E3F">
        <w:rPr>
          <w:rFonts w:ascii="Garamond" w:hAnsi="Garamond"/>
          <w:sz w:val="18"/>
          <w:szCs w:val="18"/>
        </w:rPr>
        <w:t xml:space="preserve">[quote]. </w:t>
      </w:r>
    </w:p>
  </w:footnote>
  <w:footnote w:id="39">
    <w:p w14:paraId="339BFC80" w14:textId="77777777" w:rsidR="0090120A" w:rsidRPr="00765407" w:rsidRDefault="0090120A" w:rsidP="0090120A">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In the case of Habermas, consider the tradition of deliberative democracy. Regarding </w:t>
      </w:r>
      <w:proofErr w:type="spellStart"/>
      <w:r w:rsidRPr="00765407">
        <w:rPr>
          <w:rFonts w:ascii="Garamond" w:hAnsi="Garamond"/>
          <w:sz w:val="18"/>
          <w:szCs w:val="18"/>
        </w:rPr>
        <w:t>Lefort</w:t>
      </w:r>
      <w:proofErr w:type="spellEnd"/>
      <w:r w:rsidRPr="00765407">
        <w:rPr>
          <w:rFonts w:ascii="Garamond" w:hAnsi="Garamond"/>
          <w:sz w:val="18"/>
          <w:szCs w:val="18"/>
        </w:rPr>
        <w:t xml:space="preserve">, see Ernesto </w:t>
      </w:r>
      <w:proofErr w:type="spellStart"/>
      <w:r w:rsidRPr="00765407">
        <w:rPr>
          <w:rFonts w:ascii="Garamond" w:hAnsi="Garamond"/>
          <w:sz w:val="18"/>
          <w:szCs w:val="18"/>
        </w:rPr>
        <w:t>Laclau</w:t>
      </w:r>
      <w:proofErr w:type="spellEnd"/>
      <w:r w:rsidRPr="00765407">
        <w:rPr>
          <w:rFonts w:ascii="Garamond" w:hAnsi="Garamond"/>
          <w:sz w:val="18"/>
          <w:szCs w:val="18"/>
        </w:rPr>
        <w:t xml:space="preserve"> and Chantal </w:t>
      </w:r>
      <w:proofErr w:type="spellStart"/>
      <w:r w:rsidRPr="00765407">
        <w:rPr>
          <w:rFonts w:ascii="Garamond" w:hAnsi="Garamond"/>
          <w:sz w:val="18"/>
          <w:szCs w:val="18"/>
        </w:rPr>
        <w:t>Mouffe’s</w:t>
      </w:r>
      <w:proofErr w:type="spellEnd"/>
      <w:r w:rsidRPr="00765407">
        <w:rPr>
          <w:rFonts w:ascii="Garamond" w:hAnsi="Garamond"/>
          <w:sz w:val="18"/>
          <w:szCs w:val="18"/>
        </w:rPr>
        <w:t xml:space="preserve"> theory of hegemonic articulation in </w:t>
      </w:r>
      <w:r w:rsidRPr="00765407">
        <w:rPr>
          <w:rFonts w:ascii="Garamond" w:hAnsi="Garamond"/>
          <w:i/>
          <w:iCs/>
          <w:sz w:val="18"/>
          <w:szCs w:val="18"/>
        </w:rPr>
        <w:t xml:space="preserve">Hegemony </w:t>
      </w:r>
      <w:proofErr w:type="gramStart"/>
      <w:r w:rsidRPr="00765407">
        <w:rPr>
          <w:rFonts w:ascii="Garamond" w:hAnsi="Garamond"/>
          <w:i/>
          <w:iCs/>
          <w:sz w:val="18"/>
          <w:szCs w:val="18"/>
        </w:rPr>
        <w:t>And</w:t>
      </w:r>
      <w:proofErr w:type="gramEnd"/>
      <w:r w:rsidRPr="00765407">
        <w:rPr>
          <w:rFonts w:ascii="Garamond" w:hAnsi="Garamond"/>
          <w:i/>
          <w:iCs/>
          <w:sz w:val="18"/>
          <w:szCs w:val="18"/>
        </w:rPr>
        <w:t xml:space="preserve"> Socialist Strategy: Towards A Radical Democratic Politics </w:t>
      </w:r>
      <w:r w:rsidRPr="00765407">
        <w:rPr>
          <w:rFonts w:ascii="Garamond" w:hAnsi="Garamond"/>
          <w:sz w:val="18"/>
          <w:szCs w:val="18"/>
        </w:rPr>
        <w:t>(Verso, 1985).</w:t>
      </w:r>
    </w:p>
  </w:footnote>
  <w:footnote w:id="40">
    <w:p w14:paraId="102017E2" w14:textId="77777777" w:rsidR="00D2747C" w:rsidRPr="00765407" w:rsidRDefault="00D2747C" w:rsidP="00D2747C">
      <w:pPr>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w:t>
      </w:r>
      <w:r w:rsidRPr="00765407">
        <w:rPr>
          <w:rFonts w:ascii="Garamond" w:hAnsi="Garamond"/>
          <w:sz w:val="18"/>
          <w:szCs w:val="18"/>
          <w:lang w:val="en-US"/>
        </w:rPr>
        <w:t xml:space="preserve">Pateman, </w:t>
      </w:r>
      <w:r w:rsidRPr="00765407">
        <w:rPr>
          <w:rFonts w:ascii="Garamond" w:hAnsi="Garamond"/>
          <w:i/>
          <w:iCs/>
          <w:sz w:val="18"/>
          <w:szCs w:val="18"/>
          <w:lang w:val="en-US"/>
        </w:rPr>
        <w:t xml:space="preserve">Sexual Contract, </w:t>
      </w:r>
      <w:r w:rsidRPr="00765407">
        <w:rPr>
          <w:rFonts w:ascii="Garamond" w:hAnsi="Garamond"/>
          <w:sz w:val="18"/>
          <w:szCs w:val="18"/>
          <w:lang w:val="en-US"/>
        </w:rPr>
        <w:t>5-6.</w:t>
      </w:r>
    </w:p>
  </w:footnote>
  <w:footnote w:id="41">
    <w:p w14:paraId="3A40E349" w14:textId="77777777" w:rsidR="00D2747C" w:rsidRPr="00765407" w:rsidRDefault="00D2747C" w:rsidP="00D2747C">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Pateman, </w:t>
      </w:r>
      <w:r w:rsidRPr="00765407">
        <w:rPr>
          <w:rFonts w:ascii="Garamond" w:hAnsi="Garamond"/>
          <w:i/>
          <w:iCs/>
          <w:sz w:val="18"/>
          <w:szCs w:val="18"/>
        </w:rPr>
        <w:t xml:space="preserve">Disorder of Women, </w:t>
      </w:r>
      <w:r w:rsidRPr="00765407">
        <w:rPr>
          <w:rFonts w:ascii="Garamond" w:hAnsi="Garamond"/>
          <w:sz w:val="18"/>
          <w:szCs w:val="18"/>
        </w:rPr>
        <w:t xml:space="preserve">45. See also Susan Moller </w:t>
      </w:r>
      <w:proofErr w:type="spellStart"/>
      <w:r w:rsidRPr="00765407">
        <w:rPr>
          <w:rFonts w:ascii="Garamond" w:hAnsi="Garamond"/>
          <w:sz w:val="18"/>
          <w:szCs w:val="18"/>
        </w:rPr>
        <w:t>Okin</w:t>
      </w:r>
      <w:proofErr w:type="spellEnd"/>
      <w:r w:rsidRPr="00765407">
        <w:rPr>
          <w:rFonts w:ascii="Garamond" w:hAnsi="Garamond"/>
          <w:sz w:val="18"/>
          <w:szCs w:val="18"/>
        </w:rPr>
        <w:t xml:space="preserve">, “Reason and Feeling in Thinking about Justice,” </w:t>
      </w:r>
      <w:r w:rsidRPr="00765407">
        <w:rPr>
          <w:rFonts w:ascii="Garamond" w:hAnsi="Garamond"/>
          <w:i/>
          <w:iCs/>
          <w:sz w:val="18"/>
          <w:szCs w:val="18"/>
        </w:rPr>
        <w:t xml:space="preserve">Ethics </w:t>
      </w:r>
      <w:r w:rsidRPr="00765407">
        <w:rPr>
          <w:rFonts w:ascii="Garamond" w:hAnsi="Garamond"/>
          <w:sz w:val="18"/>
          <w:szCs w:val="18"/>
        </w:rPr>
        <w:t xml:space="preserve">99 (1989): 229-249; Genevieve Lloyd. </w:t>
      </w:r>
      <w:r w:rsidRPr="00765407">
        <w:rPr>
          <w:rFonts w:ascii="Garamond" w:hAnsi="Garamond"/>
          <w:i/>
          <w:iCs/>
          <w:sz w:val="18"/>
          <w:szCs w:val="18"/>
        </w:rPr>
        <w:t xml:space="preserve">The Man of Reason: “Male” and “Female” in Western Philosophy </w:t>
      </w:r>
      <w:r w:rsidRPr="00765407">
        <w:rPr>
          <w:rFonts w:ascii="Garamond" w:hAnsi="Garamond"/>
          <w:sz w:val="18"/>
          <w:szCs w:val="18"/>
        </w:rPr>
        <w:t>(London: Routledge, 1993).</w:t>
      </w:r>
    </w:p>
  </w:footnote>
  <w:footnote w:id="42">
    <w:p w14:paraId="665C4B79" w14:textId="77777777" w:rsidR="00D2747C" w:rsidRPr="00765407" w:rsidRDefault="00D2747C" w:rsidP="00D2747C">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Pateman, </w:t>
      </w:r>
      <w:r w:rsidRPr="00765407">
        <w:rPr>
          <w:rFonts w:ascii="Garamond" w:hAnsi="Garamond"/>
          <w:i/>
          <w:iCs/>
          <w:sz w:val="18"/>
          <w:szCs w:val="18"/>
        </w:rPr>
        <w:t xml:space="preserve">Disorder of Women, </w:t>
      </w:r>
      <w:r w:rsidRPr="00765407">
        <w:rPr>
          <w:rFonts w:ascii="Garamond" w:hAnsi="Garamond"/>
          <w:sz w:val="18"/>
          <w:szCs w:val="18"/>
        </w:rPr>
        <w:t>48.</w:t>
      </w:r>
    </w:p>
  </w:footnote>
  <w:footnote w:id="43">
    <w:p w14:paraId="673EBD1C" w14:textId="1BBBBAF3" w:rsidR="00F67314" w:rsidRPr="00E174A1" w:rsidRDefault="00F67314" w:rsidP="00F67314">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w:t>
      </w:r>
      <w:proofErr w:type="spellStart"/>
      <w:r w:rsidRPr="00765407">
        <w:rPr>
          <w:rFonts w:ascii="Garamond" w:hAnsi="Garamond"/>
          <w:sz w:val="18"/>
          <w:szCs w:val="18"/>
        </w:rPr>
        <w:t>Landes</w:t>
      </w:r>
      <w:proofErr w:type="spellEnd"/>
      <w:r w:rsidRPr="00765407">
        <w:rPr>
          <w:rFonts w:ascii="Garamond" w:hAnsi="Garamond"/>
          <w:sz w:val="18"/>
          <w:szCs w:val="18"/>
        </w:rPr>
        <w:t xml:space="preserve">, </w:t>
      </w:r>
      <w:proofErr w:type="gramStart"/>
      <w:r w:rsidRPr="00765407">
        <w:rPr>
          <w:rFonts w:ascii="Garamond" w:hAnsi="Garamond"/>
          <w:i/>
          <w:iCs/>
          <w:sz w:val="18"/>
          <w:szCs w:val="18"/>
        </w:rPr>
        <w:t>Women</w:t>
      </w:r>
      <w:proofErr w:type="gramEnd"/>
      <w:r w:rsidRPr="00765407">
        <w:rPr>
          <w:rFonts w:ascii="Garamond" w:hAnsi="Garamond"/>
          <w:i/>
          <w:iCs/>
          <w:sz w:val="18"/>
          <w:szCs w:val="18"/>
        </w:rPr>
        <w:t xml:space="preserve"> and the Public Sphere</w:t>
      </w:r>
      <w:r w:rsidRPr="00765407">
        <w:rPr>
          <w:rFonts w:ascii="Garamond" w:hAnsi="Garamond"/>
          <w:sz w:val="18"/>
          <w:szCs w:val="18"/>
        </w:rPr>
        <w:t xml:space="preserve">; </w:t>
      </w:r>
      <w:r w:rsidRPr="00765407">
        <w:rPr>
          <w:rFonts w:ascii="Garamond" w:hAnsi="Garamond"/>
          <w:sz w:val="18"/>
          <w:szCs w:val="18"/>
        </w:rPr>
        <w:t xml:space="preserve">Warner, </w:t>
      </w:r>
      <w:r w:rsidRPr="00765407">
        <w:rPr>
          <w:rFonts w:ascii="Garamond" w:hAnsi="Garamond"/>
          <w:i/>
          <w:iCs/>
          <w:sz w:val="18"/>
          <w:szCs w:val="18"/>
        </w:rPr>
        <w:t xml:space="preserve">Publics and </w:t>
      </w:r>
      <w:proofErr w:type="spellStart"/>
      <w:r w:rsidRPr="00765407">
        <w:rPr>
          <w:rFonts w:ascii="Garamond" w:hAnsi="Garamond"/>
          <w:i/>
          <w:iCs/>
          <w:sz w:val="18"/>
          <w:szCs w:val="18"/>
        </w:rPr>
        <w:t>Counterpublics</w:t>
      </w:r>
      <w:proofErr w:type="spellEnd"/>
      <w:r w:rsidR="00D11329" w:rsidRPr="00765407">
        <w:rPr>
          <w:rFonts w:ascii="Garamond" w:hAnsi="Garamond"/>
          <w:i/>
          <w:iCs/>
          <w:sz w:val="18"/>
          <w:szCs w:val="18"/>
        </w:rPr>
        <w:t xml:space="preserve">. </w:t>
      </w:r>
      <w:r w:rsidR="00D11329" w:rsidRPr="00765407">
        <w:rPr>
          <w:rFonts w:ascii="Garamond" w:hAnsi="Garamond"/>
          <w:sz w:val="18"/>
          <w:szCs w:val="18"/>
        </w:rPr>
        <w:t xml:space="preserve">See also, </w:t>
      </w:r>
      <w:r w:rsidRPr="00765407">
        <w:rPr>
          <w:rFonts w:ascii="Garamond" w:hAnsi="Garamond"/>
          <w:sz w:val="18"/>
          <w:szCs w:val="18"/>
        </w:rPr>
        <w:t xml:space="preserve">Nancy Fraser, “Rethinking the Public Sphere: A Contribution to the Critique of Actually Existing Democracy,” </w:t>
      </w:r>
      <w:r w:rsidRPr="00765407">
        <w:rPr>
          <w:rFonts w:ascii="Garamond" w:hAnsi="Garamond"/>
          <w:i/>
          <w:iCs/>
          <w:sz w:val="18"/>
          <w:szCs w:val="18"/>
        </w:rPr>
        <w:t xml:space="preserve">Social Text </w:t>
      </w:r>
      <w:r w:rsidRPr="00765407">
        <w:rPr>
          <w:rFonts w:ascii="Garamond" w:hAnsi="Garamond"/>
          <w:sz w:val="18"/>
          <w:szCs w:val="18"/>
        </w:rPr>
        <w:t>25/26 (1990), 63</w:t>
      </w:r>
      <w:r w:rsidRPr="00765407">
        <w:rPr>
          <w:rFonts w:ascii="Garamond" w:hAnsi="Garamond"/>
          <w:sz w:val="18"/>
          <w:szCs w:val="18"/>
        </w:rPr>
        <w:t xml:space="preserve">; </w:t>
      </w:r>
      <w:r w:rsidRPr="00765407">
        <w:rPr>
          <w:rFonts w:ascii="Garamond" w:hAnsi="Garamond"/>
          <w:sz w:val="18"/>
          <w:szCs w:val="18"/>
        </w:rPr>
        <w:t xml:space="preserve">On the masculine sociability of the </w:t>
      </w:r>
      <w:r w:rsidRPr="00E174A1">
        <w:rPr>
          <w:rFonts w:ascii="Garamond" w:hAnsi="Garamond"/>
          <w:sz w:val="18"/>
          <w:szCs w:val="18"/>
        </w:rPr>
        <w:t xml:space="preserve">English coffeehouse, </w:t>
      </w:r>
      <w:r w:rsidRPr="00E174A1">
        <w:rPr>
          <w:rFonts w:ascii="Garamond" w:hAnsi="Garamond"/>
          <w:bCs/>
          <w:sz w:val="18"/>
          <w:szCs w:val="18"/>
        </w:rPr>
        <w:t>Brian Cowan, “English Coffeehouses and French Salons</w:t>
      </w:r>
      <w:r w:rsidRPr="00E174A1">
        <w:rPr>
          <w:rFonts w:ascii="Garamond" w:hAnsi="Garamond"/>
          <w:bCs/>
          <w:sz w:val="18"/>
          <w:szCs w:val="18"/>
        </w:rPr>
        <w:t>.</w:t>
      </w:r>
      <w:r w:rsidRPr="00E174A1">
        <w:rPr>
          <w:rFonts w:ascii="Garamond" w:hAnsi="Garamond"/>
          <w:bCs/>
          <w:sz w:val="18"/>
          <w:szCs w:val="18"/>
        </w:rPr>
        <w:t>”</w:t>
      </w:r>
      <w:r w:rsidRPr="00E174A1">
        <w:rPr>
          <w:rFonts w:ascii="Garamond" w:hAnsi="Garamond"/>
          <w:b/>
          <w:sz w:val="18"/>
          <w:szCs w:val="18"/>
        </w:rPr>
        <w:t xml:space="preserve"> </w:t>
      </w:r>
      <w:r w:rsidRPr="00E174A1">
        <w:rPr>
          <w:rFonts w:ascii="Garamond" w:hAnsi="Garamond"/>
          <w:sz w:val="18"/>
          <w:szCs w:val="18"/>
        </w:rPr>
        <w:t xml:space="preserve"> </w:t>
      </w:r>
    </w:p>
  </w:footnote>
  <w:footnote w:id="44">
    <w:p w14:paraId="0E279BE0" w14:textId="4335B0BA" w:rsidR="00E174A1" w:rsidRPr="00E174A1" w:rsidRDefault="00E174A1" w:rsidP="00E174A1">
      <w:pPr>
        <w:pStyle w:val="FootnoteText"/>
      </w:pPr>
      <w:r w:rsidRPr="00E174A1">
        <w:rPr>
          <w:rStyle w:val="FootnoteReference"/>
          <w:rFonts w:ascii="Garamond" w:hAnsi="Garamond"/>
          <w:sz w:val="18"/>
          <w:szCs w:val="18"/>
        </w:rPr>
        <w:footnoteRef/>
      </w:r>
      <w:r w:rsidRPr="00E174A1">
        <w:rPr>
          <w:rFonts w:ascii="Garamond" w:hAnsi="Garamond"/>
          <w:sz w:val="18"/>
          <w:szCs w:val="18"/>
        </w:rPr>
        <w:t xml:space="preserve"> Though I do not have time to develop this point, it seems worthwhile to note that the negative conception of power Foucault critiques derives from a certain juridical conception of political power emerging from the </w:t>
      </w:r>
      <w:r>
        <w:rPr>
          <w:rFonts w:ascii="Garamond" w:hAnsi="Garamond"/>
          <w:sz w:val="18"/>
          <w:szCs w:val="18"/>
        </w:rPr>
        <w:t xml:space="preserve">historical </w:t>
      </w:r>
      <w:r w:rsidRPr="00E174A1">
        <w:rPr>
          <w:rFonts w:ascii="Garamond" w:hAnsi="Garamond"/>
          <w:sz w:val="18"/>
          <w:szCs w:val="18"/>
        </w:rPr>
        <w:t xml:space="preserve">rise of </w:t>
      </w:r>
      <w:r>
        <w:rPr>
          <w:rFonts w:ascii="Garamond" w:hAnsi="Garamond"/>
          <w:sz w:val="18"/>
          <w:szCs w:val="18"/>
        </w:rPr>
        <w:t>monarchism</w:t>
      </w:r>
      <w:r w:rsidRPr="00E174A1">
        <w:rPr>
          <w:rFonts w:ascii="Garamond" w:hAnsi="Garamond"/>
          <w:sz w:val="18"/>
          <w:szCs w:val="18"/>
        </w:rPr>
        <w:t xml:space="preserve">. </w:t>
      </w:r>
      <w:r w:rsidRPr="00E174A1">
        <w:rPr>
          <w:rFonts w:ascii="Garamond" w:hAnsi="Garamond"/>
          <w:sz w:val="18"/>
          <w:szCs w:val="18"/>
          <w:lang w:val="en-US"/>
        </w:rPr>
        <w:t>According to Foucault, t</w:t>
      </w:r>
      <w:r w:rsidRPr="00E174A1">
        <w:rPr>
          <w:rFonts w:ascii="Garamond" w:hAnsi="Garamond"/>
          <w:sz w:val="18"/>
          <w:szCs w:val="18"/>
          <w:lang w:val="en-GB"/>
        </w:rPr>
        <w:t>he European monarchies “were able to gain acceptance” in early modern Europe “because they presented themselves as agencies of regulation, … as a way of introducing order” to a feudal system havocked by the disputes and wars of feudal lords (</w:t>
      </w:r>
      <w:r w:rsidRPr="00E174A1">
        <w:rPr>
          <w:rFonts w:ascii="Garamond" w:hAnsi="Garamond"/>
          <w:i/>
          <w:iCs/>
          <w:sz w:val="18"/>
          <w:szCs w:val="18"/>
          <w:lang w:val="en-GB"/>
        </w:rPr>
        <w:t xml:space="preserve">HS, </w:t>
      </w:r>
      <w:r w:rsidRPr="00E174A1">
        <w:rPr>
          <w:rFonts w:ascii="Garamond" w:hAnsi="Garamond"/>
          <w:sz w:val="18"/>
          <w:szCs w:val="18"/>
          <w:lang w:val="en-GB"/>
        </w:rPr>
        <w:t>86</w:t>
      </w:r>
      <w:r w:rsidRPr="00E174A1">
        <w:rPr>
          <w:rFonts w:ascii="Garamond" w:hAnsi="Garamond"/>
          <w:iCs/>
          <w:sz w:val="18"/>
          <w:szCs w:val="18"/>
          <w:lang w:val="en-GB"/>
        </w:rPr>
        <w:t>). By establishing “</w:t>
      </w:r>
      <w:r w:rsidRPr="00E174A1">
        <w:rPr>
          <w:rFonts w:ascii="Garamond" w:hAnsi="Garamond"/>
          <w:sz w:val="18"/>
          <w:szCs w:val="18"/>
          <w:lang w:val="en-GB"/>
        </w:rPr>
        <w:t xml:space="preserve">peace as the </w:t>
      </w:r>
      <w:r w:rsidRPr="00E174A1">
        <w:rPr>
          <w:rFonts w:ascii="Garamond" w:hAnsi="Garamond"/>
          <w:i/>
          <w:iCs/>
          <w:sz w:val="18"/>
          <w:szCs w:val="18"/>
          <w:lang w:val="en-GB"/>
        </w:rPr>
        <w:t>prohibition</w:t>
      </w:r>
      <w:r w:rsidRPr="00E174A1">
        <w:rPr>
          <w:rFonts w:ascii="Garamond" w:hAnsi="Garamond"/>
          <w:sz w:val="18"/>
          <w:szCs w:val="18"/>
          <w:lang w:val="en-GB"/>
        </w:rPr>
        <w:t xml:space="preserve"> of feudal or private wars, and justice as a way of </w:t>
      </w:r>
      <w:r w:rsidRPr="00E174A1">
        <w:rPr>
          <w:rFonts w:ascii="Garamond" w:hAnsi="Garamond"/>
          <w:i/>
          <w:iCs/>
          <w:sz w:val="18"/>
          <w:szCs w:val="18"/>
          <w:lang w:val="en-GB"/>
        </w:rPr>
        <w:t>suspending</w:t>
      </w:r>
      <w:r w:rsidRPr="00E174A1">
        <w:rPr>
          <w:rFonts w:ascii="Garamond" w:hAnsi="Garamond"/>
          <w:sz w:val="18"/>
          <w:szCs w:val="18"/>
          <w:lang w:val="en-GB"/>
        </w:rPr>
        <w:t xml:space="preserve"> the private settling of lawsuits,” the monarchies presented political power as a repressive power that said</w:t>
      </w:r>
      <w:r w:rsidRPr="00765407">
        <w:rPr>
          <w:rFonts w:ascii="Garamond" w:hAnsi="Garamond"/>
          <w:sz w:val="18"/>
          <w:szCs w:val="18"/>
          <w:lang w:val="en-GB"/>
        </w:rPr>
        <w:t xml:space="preserve"> no, stop, and desist (</w:t>
      </w:r>
      <w:r w:rsidRPr="00765407">
        <w:rPr>
          <w:rFonts w:ascii="Garamond" w:hAnsi="Garamond"/>
          <w:i/>
          <w:iCs/>
          <w:sz w:val="18"/>
          <w:szCs w:val="18"/>
          <w:lang w:val="en-GB"/>
        </w:rPr>
        <w:t>HS</w:t>
      </w:r>
      <w:r w:rsidRPr="00765407">
        <w:rPr>
          <w:rFonts w:ascii="Garamond" w:hAnsi="Garamond"/>
          <w:sz w:val="18"/>
          <w:szCs w:val="18"/>
          <w:lang w:val="en-GB"/>
        </w:rPr>
        <w:t xml:space="preserve"> 87).</w:t>
      </w:r>
      <w:r w:rsidRPr="00765407">
        <w:rPr>
          <w:rFonts w:ascii="Garamond" w:hAnsi="Garamond"/>
          <w:sz w:val="18"/>
          <w:szCs w:val="18"/>
        </w:rPr>
        <w:t xml:space="preserve"> </w:t>
      </w:r>
      <w:r w:rsidRPr="00765407">
        <w:rPr>
          <w:rFonts w:ascii="Garamond" w:hAnsi="Garamond"/>
          <w:sz w:val="18"/>
          <w:szCs w:val="18"/>
          <w:lang w:val="en-GB"/>
        </w:rPr>
        <w:t>Indeed, it is this historical background that serves as the context for Foucault’s often-cited claim when it comes to theorizing power, “In political thought and analysis, we still have not cut off the head of the king” (88-89).</w:t>
      </w:r>
    </w:p>
  </w:footnote>
  <w:footnote w:id="45">
    <w:p w14:paraId="46159BCC" w14:textId="77777777" w:rsidR="004F6C1E" w:rsidRPr="00765407" w:rsidRDefault="004F6C1E" w:rsidP="004F6C1E">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w:t>
      </w:r>
      <w:proofErr w:type="spellStart"/>
      <w:r w:rsidRPr="00765407">
        <w:rPr>
          <w:rFonts w:ascii="Garamond" w:hAnsi="Garamond"/>
          <w:sz w:val="18"/>
          <w:szCs w:val="18"/>
        </w:rPr>
        <w:t>Sina</w:t>
      </w:r>
      <w:proofErr w:type="spellEnd"/>
      <w:r w:rsidRPr="00765407">
        <w:rPr>
          <w:rFonts w:ascii="Garamond" w:hAnsi="Garamond"/>
          <w:sz w:val="18"/>
          <w:szCs w:val="18"/>
        </w:rPr>
        <w:t xml:space="preserve"> Kramer, </w:t>
      </w:r>
      <w:r w:rsidRPr="00765407">
        <w:rPr>
          <w:rFonts w:ascii="Garamond" w:hAnsi="Garamond"/>
          <w:i/>
          <w:iCs/>
          <w:sz w:val="18"/>
          <w:szCs w:val="18"/>
        </w:rPr>
        <w:t xml:space="preserve">Excluded Within: The (Un)intelligibility of Radical Political Actors </w:t>
      </w:r>
      <w:r w:rsidRPr="00765407">
        <w:rPr>
          <w:rFonts w:ascii="Garamond" w:hAnsi="Garamond"/>
          <w:sz w:val="18"/>
          <w:szCs w:val="18"/>
        </w:rPr>
        <w:t>(Oxford University Press, 2017),</w:t>
      </w:r>
      <w:r w:rsidRPr="00765407">
        <w:rPr>
          <w:rFonts w:ascii="Garamond" w:hAnsi="Garamond"/>
          <w:i/>
          <w:iCs/>
          <w:sz w:val="18"/>
          <w:szCs w:val="18"/>
        </w:rPr>
        <w:t xml:space="preserve"> </w:t>
      </w:r>
      <w:r w:rsidRPr="00765407">
        <w:rPr>
          <w:rFonts w:ascii="Garamond" w:hAnsi="Garamond"/>
          <w:sz w:val="18"/>
          <w:szCs w:val="18"/>
        </w:rPr>
        <w:t xml:space="preserve">5. </w:t>
      </w:r>
    </w:p>
  </w:footnote>
  <w:footnote w:id="46">
    <w:p w14:paraId="0B75B5ED" w14:textId="24A6263F" w:rsidR="0090120A" w:rsidRPr="00765407" w:rsidRDefault="0090120A" w:rsidP="0090120A">
      <w:pPr>
        <w:rPr>
          <w:rFonts w:ascii="Garamond" w:eastAsia="Times New Roman" w:hAnsi="Garamond" w:cs="Times New Roman"/>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L</w:t>
      </w:r>
      <w:r w:rsidRPr="00765407">
        <w:rPr>
          <w:rFonts w:ascii="Garamond" w:eastAsia="Times New Roman" w:hAnsi="Garamond" w:cs="Times New Roman"/>
          <w:sz w:val="18"/>
          <w:szCs w:val="18"/>
        </w:rPr>
        <w:t xml:space="preserve">eys, “The Turn to Affect: A Critique,” </w:t>
      </w:r>
      <w:r w:rsidRPr="00765407">
        <w:rPr>
          <w:rFonts w:ascii="Garamond" w:eastAsia="Times New Roman" w:hAnsi="Garamond" w:cs="Times New Roman"/>
          <w:i/>
          <w:iCs/>
          <w:sz w:val="18"/>
          <w:szCs w:val="18"/>
        </w:rPr>
        <w:t>Critical Inquiry</w:t>
      </w:r>
      <w:r w:rsidRPr="00765407">
        <w:rPr>
          <w:rFonts w:ascii="Garamond" w:eastAsia="Times New Roman" w:hAnsi="Garamond" w:cs="Times New Roman"/>
          <w:sz w:val="18"/>
          <w:szCs w:val="18"/>
        </w:rPr>
        <w:t xml:space="preserve"> 37, no. 3 (2011): 434–72. Linda Zerilli, “The Turn to Affect and the Problem of Judgment,” </w:t>
      </w:r>
      <w:r w:rsidRPr="00765407">
        <w:rPr>
          <w:rFonts w:ascii="Garamond" w:eastAsia="Times New Roman" w:hAnsi="Garamond" w:cs="Times New Roman"/>
          <w:i/>
          <w:iCs/>
          <w:sz w:val="18"/>
          <w:szCs w:val="18"/>
        </w:rPr>
        <w:t>New Literary History</w:t>
      </w:r>
      <w:r w:rsidRPr="00765407">
        <w:rPr>
          <w:rFonts w:ascii="Garamond" w:eastAsia="Times New Roman" w:hAnsi="Garamond" w:cs="Times New Roman"/>
          <w:sz w:val="18"/>
          <w:szCs w:val="18"/>
        </w:rPr>
        <w:t xml:space="preserve">, 2015, 46: 261–286. </w:t>
      </w:r>
      <w:r w:rsidR="008E75F8" w:rsidRPr="00765407">
        <w:rPr>
          <w:rFonts w:ascii="Garamond" w:eastAsia="Times New Roman" w:hAnsi="Garamond" w:cs="Times New Roman"/>
          <w:sz w:val="18"/>
          <w:szCs w:val="18"/>
        </w:rPr>
        <w:t xml:space="preserve">See also, </w:t>
      </w:r>
      <w:r w:rsidRPr="00765407">
        <w:rPr>
          <w:rFonts w:ascii="Garamond" w:hAnsi="Garamond" w:cs="Times New Roman"/>
          <w:sz w:val="18"/>
          <w:szCs w:val="18"/>
        </w:rPr>
        <w:t xml:space="preserve">Sasha Newell, ‘The </w:t>
      </w:r>
      <w:proofErr w:type="spellStart"/>
      <w:r w:rsidRPr="00765407">
        <w:rPr>
          <w:rFonts w:ascii="Garamond" w:hAnsi="Garamond" w:cs="Times New Roman"/>
          <w:sz w:val="18"/>
          <w:szCs w:val="18"/>
        </w:rPr>
        <w:t>Affectiveness</w:t>
      </w:r>
      <w:proofErr w:type="spellEnd"/>
      <w:r w:rsidRPr="00765407">
        <w:rPr>
          <w:rFonts w:ascii="Garamond" w:hAnsi="Garamond" w:cs="Times New Roman"/>
          <w:sz w:val="18"/>
          <w:szCs w:val="18"/>
        </w:rPr>
        <w:t xml:space="preserve"> of Symbols: Materiality, </w:t>
      </w:r>
      <w:proofErr w:type="spellStart"/>
      <w:r w:rsidRPr="00765407">
        <w:rPr>
          <w:rFonts w:ascii="Garamond" w:hAnsi="Garamond" w:cs="Times New Roman"/>
          <w:sz w:val="18"/>
          <w:szCs w:val="18"/>
        </w:rPr>
        <w:t>Magicality</w:t>
      </w:r>
      <w:proofErr w:type="spellEnd"/>
      <w:r w:rsidRPr="00765407">
        <w:rPr>
          <w:rFonts w:ascii="Garamond" w:hAnsi="Garamond" w:cs="Times New Roman"/>
          <w:sz w:val="18"/>
          <w:szCs w:val="18"/>
        </w:rPr>
        <w:t xml:space="preserve">, and the Limits of the </w:t>
      </w:r>
      <w:proofErr w:type="spellStart"/>
      <w:r w:rsidRPr="00765407">
        <w:rPr>
          <w:rFonts w:ascii="Garamond" w:hAnsi="Garamond" w:cs="Times New Roman"/>
          <w:sz w:val="18"/>
          <w:szCs w:val="18"/>
        </w:rPr>
        <w:t>Antisemiotic</w:t>
      </w:r>
      <w:proofErr w:type="spellEnd"/>
      <w:r w:rsidRPr="00765407">
        <w:rPr>
          <w:rFonts w:ascii="Garamond" w:hAnsi="Garamond" w:cs="Times New Roman"/>
          <w:sz w:val="18"/>
          <w:szCs w:val="18"/>
        </w:rPr>
        <w:t xml:space="preserve"> Turn’, </w:t>
      </w:r>
      <w:r w:rsidRPr="00765407">
        <w:rPr>
          <w:rFonts w:ascii="Garamond" w:hAnsi="Garamond" w:cs="Times New Roman"/>
          <w:i/>
          <w:iCs/>
          <w:sz w:val="18"/>
          <w:szCs w:val="18"/>
        </w:rPr>
        <w:t>Current Anthropology</w:t>
      </w:r>
      <w:r w:rsidRPr="00765407">
        <w:rPr>
          <w:rFonts w:ascii="Garamond" w:hAnsi="Garamond" w:cs="Times New Roman"/>
          <w:sz w:val="18"/>
          <w:szCs w:val="18"/>
        </w:rPr>
        <w:t xml:space="preserve"> 59,1 (2018): 1-22.</w:t>
      </w:r>
    </w:p>
  </w:footnote>
  <w:footnote w:id="47">
    <w:p w14:paraId="4EC55176" w14:textId="77777777" w:rsidR="0090120A" w:rsidRPr="00765407" w:rsidRDefault="0090120A" w:rsidP="0090120A">
      <w:pPr>
        <w:pStyle w:val="FootnoteText"/>
        <w:rPr>
          <w:rFonts w:ascii="Garamond" w:hAnsi="Garamond"/>
          <w:color w:val="000000" w:themeColor="text1"/>
          <w:sz w:val="18"/>
          <w:szCs w:val="18"/>
          <w:lang w:val="en-US"/>
        </w:rPr>
      </w:pPr>
      <w:r w:rsidRPr="00765407">
        <w:rPr>
          <w:rStyle w:val="FootnoteReference"/>
          <w:rFonts w:ascii="Garamond" w:eastAsiaTheme="majorEastAsia" w:hAnsi="Garamond"/>
          <w:color w:val="000000" w:themeColor="text1"/>
          <w:sz w:val="18"/>
          <w:szCs w:val="18"/>
        </w:rPr>
        <w:footnoteRef/>
      </w:r>
      <w:r w:rsidRPr="00765407">
        <w:rPr>
          <w:rFonts w:ascii="Garamond" w:hAnsi="Garamond"/>
          <w:color w:val="000000" w:themeColor="text1"/>
          <w:sz w:val="18"/>
          <w:szCs w:val="18"/>
        </w:rPr>
        <w:t xml:space="preserve"> </w:t>
      </w:r>
      <w:r w:rsidRPr="00765407">
        <w:rPr>
          <w:rFonts w:ascii="Garamond" w:hAnsi="Garamond"/>
          <w:color w:val="000000" w:themeColor="text1"/>
          <w:sz w:val="18"/>
          <w:szCs w:val="18"/>
          <w:lang w:val="en-US"/>
        </w:rPr>
        <w:t xml:space="preserve">Plowden, </w:t>
      </w:r>
      <w:r w:rsidRPr="00765407">
        <w:rPr>
          <w:rFonts w:ascii="Garamond" w:hAnsi="Garamond"/>
          <w:i/>
          <w:iCs/>
          <w:color w:val="000000" w:themeColor="text1"/>
          <w:sz w:val="18"/>
          <w:szCs w:val="18"/>
          <w:lang w:val="en-US"/>
        </w:rPr>
        <w:t>Reports</w:t>
      </w:r>
      <w:r w:rsidRPr="00765407">
        <w:rPr>
          <w:rFonts w:ascii="Garamond" w:hAnsi="Garamond"/>
          <w:color w:val="000000" w:themeColor="text1"/>
          <w:sz w:val="18"/>
          <w:szCs w:val="18"/>
          <w:lang w:val="en-US"/>
        </w:rPr>
        <w:t xml:space="preserve">, 213, emphasis added, quoted in </w:t>
      </w:r>
      <w:proofErr w:type="spellStart"/>
      <w:r w:rsidRPr="00765407">
        <w:rPr>
          <w:rFonts w:ascii="Garamond" w:hAnsi="Garamond"/>
          <w:color w:val="000000" w:themeColor="text1"/>
          <w:sz w:val="18"/>
          <w:szCs w:val="18"/>
          <w:lang w:val="en-US"/>
        </w:rPr>
        <w:t>Kantorowicz</w:t>
      </w:r>
      <w:proofErr w:type="spellEnd"/>
      <w:r w:rsidRPr="00765407">
        <w:rPr>
          <w:rFonts w:ascii="Garamond" w:hAnsi="Garamond"/>
          <w:color w:val="000000" w:themeColor="text1"/>
          <w:sz w:val="18"/>
          <w:szCs w:val="18"/>
          <w:lang w:val="en-US"/>
        </w:rPr>
        <w:t xml:space="preserve">, </w:t>
      </w:r>
      <w:r w:rsidRPr="00765407">
        <w:rPr>
          <w:rFonts w:ascii="Garamond" w:hAnsi="Garamond"/>
          <w:i/>
          <w:iCs/>
          <w:color w:val="000000" w:themeColor="text1"/>
          <w:sz w:val="18"/>
          <w:szCs w:val="18"/>
          <w:lang w:val="en-US"/>
        </w:rPr>
        <w:t>King’s Two Bodies</w:t>
      </w:r>
      <w:r w:rsidRPr="00765407">
        <w:rPr>
          <w:rFonts w:ascii="Garamond" w:hAnsi="Garamond"/>
          <w:color w:val="000000" w:themeColor="text1"/>
          <w:sz w:val="18"/>
          <w:szCs w:val="18"/>
          <w:lang w:val="en-US"/>
        </w:rPr>
        <w:t>, 438.</w:t>
      </w:r>
    </w:p>
  </w:footnote>
  <w:footnote w:id="48">
    <w:p w14:paraId="02D30CCA" w14:textId="77777777" w:rsidR="0090120A" w:rsidRPr="00765407" w:rsidRDefault="0090120A" w:rsidP="0090120A">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w:t>
      </w:r>
      <w:r w:rsidRPr="00765407">
        <w:rPr>
          <w:rFonts w:ascii="Garamond" w:hAnsi="Garamond"/>
          <w:color w:val="000000" w:themeColor="text1"/>
          <w:sz w:val="18"/>
          <w:szCs w:val="18"/>
          <w:lang w:val="en-US"/>
        </w:rPr>
        <w:t xml:space="preserve">Pitkin, </w:t>
      </w:r>
      <w:r w:rsidRPr="00765407">
        <w:rPr>
          <w:rFonts w:ascii="Garamond" w:hAnsi="Garamond"/>
          <w:i/>
          <w:iCs/>
          <w:color w:val="000000" w:themeColor="text1"/>
          <w:sz w:val="18"/>
          <w:szCs w:val="18"/>
          <w:lang w:val="en-US"/>
        </w:rPr>
        <w:t xml:space="preserve">Concept of Representation, </w:t>
      </w:r>
      <w:r w:rsidRPr="00765407">
        <w:rPr>
          <w:rFonts w:ascii="Garamond" w:hAnsi="Garamond"/>
          <w:color w:val="000000" w:themeColor="text1"/>
          <w:sz w:val="18"/>
          <w:szCs w:val="18"/>
          <w:lang w:val="en-US"/>
        </w:rPr>
        <w:t xml:space="preserve">245, 244. See also Elton, “‘The Body of the Whole Realm’: Parliament and Representation in Medieval and Tudor England”. </w:t>
      </w:r>
    </w:p>
  </w:footnote>
  <w:footnote w:id="49">
    <w:p w14:paraId="759E4A97" w14:textId="77777777" w:rsidR="0090120A" w:rsidRPr="00765407" w:rsidRDefault="0090120A" w:rsidP="0090120A">
      <w:pPr>
        <w:rPr>
          <w:rFonts w:ascii="Garamond" w:hAnsi="Garamond"/>
          <w:color w:val="000000" w:themeColor="text1"/>
          <w:sz w:val="18"/>
          <w:szCs w:val="18"/>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Thomas Smith, </w:t>
      </w:r>
      <w:r w:rsidRPr="00765407">
        <w:rPr>
          <w:rFonts w:ascii="Garamond" w:hAnsi="Garamond"/>
          <w:i/>
          <w:iCs/>
          <w:color w:val="000000" w:themeColor="text1"/>
          <w:sz w:val="18"/>
          <w:szCs w:val="18"/>
        </w:rPr>
        <w:t xml:space="preserve">De </w:t>
      </w:r>
      <w:proofErr w:type="spellStart"/>
      <w:r w:rsidRPr="00765407">
        <w:rPr>
          <w:rFonts w:ascii="Garamond" w:hAnsi="Garamond"/>
          <w:i/>
          <w:iCs/>
          <w:color w:val="000000" w:themeColor="text1"/>
          <w:sz w:val="18"/>
          <w:szCs w:val="18"/>
        </w:rPr>
        <w:t>republica</w:t>
      </w:r>
      <w:proofErr w:type="spellEnd"/>
      <w:r w:rsidRPr="00765407">
        <w:rPr>
          <w:rFonts w:ascii="Garamond" w:hAnsi="Garamond"/>
          <w:i/>
          <w:iCs/>
          <w:color w:val="000000" w:themeColor="text1"/>
          <w:sz w:val="18"/>
          <w:szCs w:val="18"/>
        </w:rPr>
        <w:t xml:space="preserve"> </w:t>
      </w:r>
      <w:proofErr w:type="spellStart"/>
      <w:r w:rsidRPr="00765407">
        <w:rPr>
          <w:rFonts w:ascii="Garamond" w:hAnsi="Garamond"/>
          <w:i/>
          <w:iCs/>
          <w:color w:val="000000" w:themeColor="text1"/>
          <w:sz w:val="18"/>
          <w:szCs w:val="18"/>
        </w:rPr>
        <w:t>Anglorum</w:t>
      </w:r>
      <w:proofErr w:type="spellEnd"/>
      <w:r w:rsidRPr="00765407">
        <w:rPr>
          <w:rFonts w:ascii="Garamond" w:hAnsi="Garamond"/>
          <w:i/>
          <w:iCs/>
          <w:color w:val="000000" w:themeColor="text1"/>
          <w:sz w:val="18"/>
          <w:szCs w:val="18"/>
        </w:rPr>
        <w:t xml:space="preserve">: The </w:t>
      </w:r>
      <w:proofErr w:type="spellStart"/>
      <w:r w:rsidRPr="00765407">
        <w:rPr>
          <w:rFonts w:ascii="Garamond" w:hAnsi="Garamond"/>
          <w:i/>
          <w:iCs/>
          <w:color w:val="000000" w:themeColor="text1"/>
          <w:sz w:val="18"/>
          <w:szCs w:val="18"/>
        </w:rPr>
        <w:t>maner</w:t>
      </w:r>
      <w:proofErr w:type="spellEnd"/>
      <w:r w:rsidRPr="00765407">
        <w:rPr>
          <w:rFonts w:ascii="Garamond" w:hAnsi="Garamond"/>
          <w:i/>
          <w:iCs/>
          <w:color w:val="000000" w:themeColor="text1"/>
          <w:sz w:val="18"/>
          <w:szCs w:val="18"/>
        </w:rPr>
        <w:t xml:space="preserve"> of </w:t>
      </w:r>
      <w:proofErr w:type="spellStart"/>
      <w:r w:rsidRPr="00765407">
        <w:rPr>
          <w:rFonts w:ascii="Garamond" w:hAnsi="Garamond"/>
          <w:i/>
          <w:iCs/>
          <w:color w:val="000000" w:themeColor="text1"/>
          <w:sz w:val="18"/>
          <w:szCs w:val="18"/>
        </w:rPr>
        <w:t>gouernement</w:t>
      </w:r>
      <w:proofErr w:type="spellEnd"/>
      <w:r w:rsidRPr="00765407">
        <w:rPr>
          <w:rFonts w:ascii="Garamond" w:hAnsi="Garamond"/>
          <w:i/>
          <w:iCs/>
          <w:color w:val="000000" w:themeColor="text1"/>
          <w:sz w:val="18"/>
          <w:szCs w:val="18"/>
        </w:rPr>
        <w:t xml:space="preserve"> or </w:t>
      </w:r>
      <w:proofErr w:type="spellStart"/>
      <w:r w:rsidRPr="00765407">
        <w:rPr>
          <w:rFonts w:ascii="Garamond" w:hAnsi="Garamond"/>
          <w:i/>
          <w:iCs/>
          <w:color w:val="000000" w:themeColor="text1"/>
          <w:sz w:val="18"/>
          <w:szCs w:val="18"/>
        </w:rPr>
        <w:t>policie</w:t>
      </w:r>
      <w:proofErr w:type="spellEnd"/>
      <w:r w:rsidRPr="00765407">
        <w:rPr>
          <w:rFonts w:ascii="Garamond" w:hAnsi="Garamond"/>
          <w:i/>
          <w:iCs/>
          <w:color w:val="000000" w:themeColor="text1"/>
          <w:sz w:val="18"/>
          <w:szCs w:val="18"/>
        </w:rPr>
        <w:t xml:space="preserve"> of the </w:t>
      </w:r>
      <w:proofErr w:type="spellStart"/>
      <w:r w:rsidRPr="00765407">
        <w:rPr>
          <w:rFonts w:ascii="Garamond" w:hAnsi="Garamond"/>
          <w:i/>
          <w:iCs/>
          <w:color w:val="000000" w:themeColor="text1"/>
          <w:sz w:val="18"/>
          <w:szCs w:val="18"/>
        </w:rPr>
        <w:t>realme</w:t>
      </w:r>
      <w:proofErr w:type="spellEnd"/>
      <w:r w:rsidRPr="00765407">
        <w:rPr>
          <w:rFonts w:ascii="Garamond" w:hAnsi="Garamond"/>
          <w:i/>
          <w:iCs/>
          <w:color w:val="000000" w:themeColor="text1"/>
          <w:sz w:val="18"/>
          <w:szCs w:val="18"/>
        </w:rPr>
        <w:t xml:space="preserve"> of England </w:t>
      </w:r>
      <w:r w:rsidRPr="00765407">
        <w:rPr>
          <w:rFonts w:ascii="Garamond" w:hAnsi="Garamond"/>
          <w:color w:val="000000" w:themeColor="text1"/>
          <w:sz w:val="18"/>
          <w:szCs w:val="18"/>
        </w:rPr>
        <w:t>(London, 1583).</w:t>
      </w:r>
    </w:p>
  </w:footnote>
  <w:footnote w:id="50">
    <w:p w14:paraId="54A07F50" w14:textId="77777777" w:rsidR="0090120A" w:rsidRPr="00765407" w:rsidRDefault="0090120A" w:rsidP="0090120A">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w:t>
      </w:r>
      <w:r w:rsidRPr="00765407">
        <w:rPr>
          <w:rFonts w:ascii="Garamond" w:hAnsi="Garamond"/>
          <w:color w:val="000000" w:themeColor="text1"/>
          <w:sz w:val="18"/>
          <w:szCs w:val="18"/>
          <w:lang w:val="en-US"/>
        </w:rPr>
        <w:t>According to Alan Watson, Roman law did not use the language of representation (</w:t>
      </w:r>
      <w:proofErr w:type="spellStart"/>
      <w:r w:rsidRPr="00765407">
        <w:rPr>
          <w:rFonts w:ascii="Garamond" w:hAnsi="Garamond"/>
          <w:i/>
          <w:iCs/>
          <w:color w:val="000000" w:themeColor="text1"/>
          <w:sz w:val="18"/>
          <w:szCs w:val="18"/>
          <w:lang w:val="en-US"/>
        </w:rPr>
        <w:t>repræsentatio</w:t>
      </w:r>
      <w:proofErr w:type="spellEnd"/>
      <w:r w:rsidRPr="00765407">
        <w:rPr>
          <w:rFonts w:ascii="Garamond" w:hAnsi="Garamond"/>
          <w:color w:val="000000" w:themeColor="text1"/>
          <w:sz w:val="18"/>
          <w:szCs w:val="18"/>
          <w:lang w:val="en-US"/>
        </w:rPr>
        <w:t>) but rather procuration (</w:t>
      </w:r>
      <w:r w:rsidRPr="00765407">
        <w:rPr>
          <w:rFonts w:ascii="Garamond" w:hAnsi="Garamond"/>
          <w:i/>
          <w:iCs/>
          <w:color w:val="000000" w:themeColor="text1"/>
          <w:sz w:val="18"/>
          <w:szCs w:val="18"/>
          <w:lang w:val="en-US"/>
        </w:rPr>
        <w:t xml:space="preserve">procurator ad litem) </w:t>
      </w:r>
      <w:r w:rsidRPr="00765407">
        <w:rPr>
          <w:rFonts w:ascii="Garamond" w:hAnsi="Garamond"/>
          <w:color w:val="000000" w:themeColor="text1"/>
          <w:sz w:val="18"/>
          <w:szCs w:val="18"/>
          <w:lang w:val="en-US"/>
        </w:rPr>
        <w:t>to describe someone who acts on behalf of another in court. Watson, “</w:t>
      </w:r>
      <w:proofErr w:type="spellStart"/>
      <w:r w:rsidRPr="00765407">
        <w:rPr>
          <w:rFonts w:ascii="Garamond" w:hAnsi="Garamond"/>
          <w:i/>
          <w:iCs/>
          <w:color w:val="000000" w:themeColor="text1"/>
          <w:sz w:val="18"/>
          <w:szCs w:val="18"/>
          <w:lang w:val="en-US"/>
        </w:rPr>
        <w:t>Repræsentatio</w:t>
      </w:r>
      <w:proofErr w:type="spellEnd"/>
      <w:r w:rsidRPr="00765407">
        <w:rPr>
          <w:rFonts w:ascii="Garamond" w:hAnsi="Garamond"/>
          <w:i/>
          <w:iCs/>
          <w:color w:val="000000" w:themeColor="text1"/>
          <w:sz w:val="18"/>
          <w:szCs w:val="18"/>
          <w:lang w:val="en-US"/>
        </w:rPr>
        <w:t xml:space="preserve"> </w:t>
      </w:r>
      <w:r w:rsidRPr="00765407">
        <w:rPr>
          <w:rFonts w:ascii="Garamond" w:hAnsi="Garamond"/>
          <w:color w:val="000000" w:themeColor="text1"/>
          <w:sz w:val="18"/>
          <w:szCs w:val="18"/>
          <w:lang w:val="en-US"/>
        </w:rPr>
        <w:t xml:space="preserve">in classical Latin”, in </w:t>
      </w:r>
      <w:r w:rsidRPr="00765407">
        <w:rPr>
          <w:rFonts w:ascii="Garamond" w:hAnsi="Garamond"/>
          <w:i/>
          <w:iCs/>
          <w:color w:val="000000" w:themeColor="text1"/>
          <w:sz w:val="18"/>
          <w:szCs w:val="18"/>
          <w:lang w:val="en-US"/>
        </w:rPr>
        <w:t xml:space="preserve">REPRÆSENTATIO: Mapping a Keyword for Churches and Governance, </w:t>
      </w:r>
      <w:r w:rsidRPr="00765407">
        <w:rPr>
          <w:rFonts w:ascii="Garamond" w:hAnsi="Garamond"/>
          <w:color w:val="000000" w:themeColor="text1"/>
          <w:sz w:val="18"/>
          <w:szCs w:val="18"/>
          <w:lang w:val="en-US"/>
        </w:rPr>
        <w:t>15-19.</w:t>
      </w:r>
    </w:p>
  </w:footnote>
  <w:footnote w:id="51">
    <w:p w14:paraId="2C410598" w14:textId="77777777" w:rsidR="0090120A" w:rsidRPr="00765407" w:rsidRDefault="0090120A" w:rsidP="0090120A">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Hanna Pitkin elucidates representation’s paradoxical logic of making present constituents who must otherwise remain in some sense absent in “The Paradox of Representation”, </w:t>
      </w:r>
      <w:r w:rsidRPr="00765407">
        <w:rPr>
          <w:rFonts w:ascii="Garamond" w:hAnsi="Garamond"/>
          <w:i/>
          <w:iCs/>
          <w:color w:val="000000" w:themeColor="text1"/>
          <w:sz w:val="18"/>
          <w:szCs w:val="18"/>
        </w:rPr>
        <w:t xml:space="preserve">Nomos X: Representation </w:t>
      </w:r>
      <w:r w:rsidRPr="00765407">
        <w:rPr>
          <w:rFonts w:ascii="Garamond" w:hAnsi="Garamond"/>
          <w:color w:val="000000" w:themeColor="text1"/>
          <w:sz w:val="18"/>
          <w:szCs w:val="18"/>
        </w:rPr>
        <w:t>(New York, 1968)</w:t>
      </w:r>
      <w:r w:rsidRPr="00765407">
        <w:rPr>
          <w:rFonts w:ascii="Garamond" w:hAnsi="Garamond"/>
          <w:b/>
          <w:bCs/>
          <w:color w:val="000000" w:themeColor="text1"/>
          <w:sz w:val="18"/>
          <w:szCs w:val="18"/>
        </w:rPr>
        <w:t>.</w:t>
      </w:r>
      <w:r w:rsidRPr="00765407">
        <w:rPr>
          <w:rFonts w:ascii="Garamond" w:hAnsi="Garamond"/>
          <w:color w:val="000000" w:themeColor="text1"/>
          <w:sz w:val="18"/>
          <w:szCs w:val="18"/>
        </w:rPr>
        <w:t xml:space="preserve"> </w:t>
      </w:r>
      <w:r w:rsidRPr="00765407">
        <w:rPr>
          <w:rFonts w:ascii="Garamond" w:hAnsi="Garamond"/>
          <w:color w:val="000000" w:themeColor="text1"/>
          <w:sz w:val="18"/>
          <w:szCs w:val="18"/>
          <w:lang w:val="en-US"/>
        </w:rPr>
        <w:t xml:space="preserve">On the theological history of representing the absent divinity of Christ, see the essays collected in </w:t>
      </w:r>
      <w:r w:rsidRPr="00765407">
        <w:rPr>
          <w:rFonts w:ascii="Garamond" w:hAnsi="Garamond"/>
          <w:i/>
          <w:iCs/>
          <w:color w:val="000000" w:themeColor="text1"/>
          <w:sz w:val="18"/>
          <w:szCs w:val="18"/>
          <w:lang w:val="en-US"/>
        </w:rPr>
        <w:t xml:space="preserve">REPRÆSENTATIO: Mapping a Keyword for Churches and Governance, </w:t>
      </w:r>
      <w:r w:rsidRPr="00765407">
        <w:rPr>
          <w:rFonts w:ascii="Garamond" w:hAnsi="Garamond"/>
          <w:color w:val="000000" w:themeColor="text1"/>
          <w:sz w:val="18"/>
          <w:szCs w:val="18"/>
          <w:lang w:val="en-US"/>
        </w:rPr>
        <w:t xml:space="preserve">(eds.) Massimo Faggioli and Alberto </w:t>
      </w:r>
      <w:proofErr w:type="spellStart"/>
      <w:r w:rsidRPr="00765407">
        <w:rPr>
          <w:rFonts w:ascii="Garamond" w:hAnsi="Garamond"/>
          <w:color w:val="000000" w:themeColor="text1"/>
          <w:sz w:val="18"/>
          <w:szCs w:val="18"/>
          <w:lang w:val="en-US"/>
        </w:rPr>
        <w:t>Melloni</w:t>
      </w:r>
      <w:proofErr w:type="spellEnd"/>
      <w:r w:rsidRPr="00765407">
        <w:rPr>
          <w:rFonts w:ascii="Garamond" w:hAnsi="Garamond"/>
          <w:color w:val="000000" w:themeColor="text1"/>
          <w:sz w:val="18"/>
          <w:szCs w:val="18"/>
          <w:lang w:val="en-US"/>
        </w:rPr>
        <w:t xml:space="preserve"> (Berlin: LIT, 2006). </w:t>
      </w:r>
    </w:p>
  </w:footnote>
  <w:footnote w:id="52">
    <w:p w14:paraId="5580506A" w14:textId="77777777" w:rsidR="0090120A" w:rsidRPr="00765407" w:rsidRDefault="0090120A" w:rsidP="0090120A">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David Starkey, “Representation Through Intimacy.” Starkey notes, however, that the notion of representation as monarchical delegation was undeveloped in the sixteenth century (195-6). </w:t>
      </w:r>
    </w:p>
  </w:footnote>
  <w:footnote w:id="53">
    <w:p w14:paraId="3699D530" w14:textId="77777777" w:rsidR="0090120A" w:rsidRPr="00765407" w:rsidRDefault="0090120A" w:rsidP="0090120A">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w:t>
      </w:r>
      <w:proofErr w:type="spellStart"/>
      <w:r w:rsidRPr="00765407">
        <w:rPr>
          <w:rFonts w:ascii="Garamond" w:hAnsi="Garamond"/>
          <w:color w:val="000000" w:themeColor="text1"/>
          <w:sz w:val="18"/>
          <w:szCs w:val="18"/>
        </w:rPr>
        <w:t>Kantorowicz</w:t>
      </w:r>
      <w:proofErr w:type="spellEnd"/>
      <w:r w:rsidRPr="00765407">
        <w:rPr>
          <w:rFonts w:ascii="Garamond" w:hAnsi="Garamond"/>
          <w:color w:val="000000" w:themeColor="text1"/>
          <w:sz w:val="18"/>
          <w:szCs w:val="18"/>
        </w:rPr>
        <w:t xml:space="preserve">, </w:t>
      </w:r>
      <w:r w:rsidRPr="00765407">
        <w:rPr>
          <w:rFonts w:ascii="Garamond" w:hAnsi="Garamond"/>
          <w:i/>
          <w:iCs/>
          <w:color w:val="000000" w:themeColor="text1"/>
          <w:sz w:val="18"/>
          <w:szCs w:val="18"/>
          <w:lang w:val="en-US"/>
        </w:rPr>
        <w:t xml:space="preserve">The King’s Two Bodies, </w:t>
      </w:r>
      <w:r w:rsidRPr="00765407">
        <w:rPr>
          <w:rFonts w:ascii="Garamond" w:hAnsi="Garamond"/>
          <w:iCs/>
          <w:color w:val="000000" w:themeColor="text1"/>
          <w:sz w:val="18"/>
          <w:szCs w:val="18"/>
        </w:rPr>
        <w:t xml:space="preserve">9; </w:t>
      </w:r>
      <w:proofErr w:type="spellStart"/>
      <w:r w:rsidRPr="00765407">
        <w:rPr>
          <w:rFonts w:ascii="Garamond" w:hAnsi="Garamond"/>
          <w:color w:val="000000" w:themeColor="text1"/>
          <w:sz w:val="18"/>
          <w:szCs w:val="18"/>
        </w:rPr>
        <w:t>Norbrook</w:t>
      </w:r>
      <w:proofErr w:type="spellEnd"/>
      <w:r w:rsidRPr="00765407">
        <w:rPr>
          <w:rFonts w:ascii="Garamond" w:hAnsi="Garamond"/>
          <w:color w:val="000000" w:themeColor="text1"/>
          <w:sz w:val="18"/>
          <w:szCs w:val="18"/>
        </w:rPr>
        <w:t xml:space="preserve">, “The Emperor’s New Body”, 344; Starkey, “Representation Through Intimacy”, 188, respectively. </w:t>
      </w:r>
    </w:p>
  </w:footnote>
  <w:footnote w:id="54">
    <w:p w14:paraId="14CD51DE" w14:textId="77777777" w:rsidR="00E42A2B" w:rsidRPr="00765407" w:rsidRDefault="00E42A2B" w:rsidP="00E42A2B">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r w:rsidRPr="00765407">
        <w:rPr>
          <w:rFonts w:ascii="Garamond" w:hAnsi="Garamond"/>
          <w:sz w:val="18"/>
          <w:szCs w:val="18"/>
          <w:lang w:val="en-US"/>
        </w:rPr>
        <w:t xml:space="preserve">Quoted in </w:t>
      </w:r>
      <w:proofErr w:type="spellStart"/>
      <w:r w:rsidRPr="00765407">
        <w:rPr>
          <w:rFonts w:ascii="Garamond" w:hAnsi="Garamond"/>
          <w:sz w:val="18"/>
          <w:szCs w:val="18"/>
          <w:lang w:val="en-US"/>
        </w:rPr>
        <w:t>Levack</w:t>
      </w:r>
      <w:proofErr w:type="spellEnd"/>
      <w:r w:rsidRPr="00765407">
        <w:rPr>
          <w:rFonts w:ascii="Garamond" w:hAnsi="Garamond"/>
          <w:sz w:val="18"/>
          <w:szCs w:val="18"/>
          <w:lang w:val="en-US"/>
        </w:rPr>
        <w:t xml:space="preserve">, </w:t>
      </w:r>
      <w:r w:rsidRPr="00765407">
        <w:rPr>
          <w:rFonts w:ascii="Garamond" w:hAnsi="Garamond"/>
          <w:i/>
          <w:iCs/>
          <w:sz w:val="18"/>
          <w:szCs w:val="18"/>
          <w:lang w:val="en-US"/>
        </w:rPr>
        <w:t xml:space="preserve">The Formation of the British State, </w:t>
      </w:r>
      <w:r w:rsidRPr="00765407">
        <w:rPr>
          <w:rFonts w:ascii="Garamond" w:hAnsi="Garamond"/>
          <w:sz w:val="18"/>
          <w:szCs w:val="18"/>
          <w:lang w:val="en-US"/>
        </w:rPr>
        <w:t xml:space="preserve">7. </w:t>
      </w:r>
    </w:p>
  </w:footnote>
  <w:footnote w:id="55">
    <w:p w14:paraId="23CA79CE" w14:textId="77777777" w:rsidR="00E42A2B" w:rsidRPr="00765407" w:rsidRDefault="00E42A2B" w:rsidP="00E42A2B">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Francis Bacon, </w:t>
      </w:r>
      <w:r w:rsidRPr="00765407">
        <w:rPr>
          <w:rFonts w:ascii="Garamond" w:hAnsi="Garamond"/>
          <w:i/>
          <w:iCs/>
          <w:color w:val="000000" w:themeColor="text1"/>
          <w:sz w:val="18"/>
          <w:szCs w:val="18"/>
        </w:rPr>
        <w:t xml:space="preserve">A </w:t>
      </w:r>
      <w:proofErr w:type="spellStart"/>
      <w:r w:rsidRPr="00765407">
        <w:rPr>
          <w:rFonts w:ascii="Garamond" w:hAnsi="Garamond"/>
          <w:i/>
          <w:iCs/>
          <w:color w:val="000000" w:themeColor="text1"/>
          <w:sz w:val="18"/>
          <w:szCs w:val="18"/>
        </w:rPr>
        <w:t>briefe</w:t>
      </w:r>
      <w:proofErr w:type="spellEnd"/>
      <w:r w:rsidRPr="00765407">
        <w:rPr>
          <w:rFonts w:ascii="Garamond" w:hAnsi="Garamond"/>
          <w:i/>
          <w:iCs/>
          <w:color w:val="000000" w:themeColor="text1"/>
          <w:sz w:val="18"/>
          <w:szCs w:val="18"/>
        </w:rPr>
        <w:t xml:space="preserve"> discourse, touching the </w:t>
      </w:r>
      <w:proofErr w:type="spellStart"/>
      <w:r w:rsidRPr="00765407">
        <w:rPr>
          <w:rFonts w:ascii="Garamond" w:hAnsi="Garamond"/>
          <w:i/>
          <w:iCs/>
          <w:color w:val="000000" w:themeColor="text1"/>
          <w:sz w:val="18"/>
          <w:szCs w:val="18"/>
        </w:rPr>
        <w:t>happie</w:t>
      </w:r>
      <w:proofErr w:type="spellEnd"/>
      <w:r w:rsidRPr="00765407">
        <w:rPr>
          <w:rFonts w:ascii="Garamond" w:hAnsi="Garamond"/>
          <w:i/>
          <w:iCs/>
          <w:color w:val="000000" w:themeColor="text1"/>
          <w:sz w:val="18"/>
          <w:szCs w:val="18"/>
        </w:rPr>
        <w:t xml:space="preserve"> </w:t>
      </w:r>
      <w:proofErr w:type="spellStart"/>
      <w:r w:rsidRPr="00765407">
        <w:rPr>
          <w:rFonts w:ascii="Garamond" w:hAnsi="Garamond"/>
          <w:i/>
          <w:iCs/>
          <w:color w:val="000000" w:themeColor="text1"/>
          <w:sz w:val="18"/>
          <w:szCs w:val="18"/>
        </w:rPr>
        <w:t>vnion</w:t>
      </w:r>
      <w:proofErr w:type="spellEnd"/>
      <w:r w:rsidRPr="00765407">
        <w:rPr>
          <w:rFonts w:ascii="Garamond" w:hAnsi="Garamond"/>
          <w:i/>
          <w:iCs/>
          <w:color w:val="000000" w:themeColor="text1"/>
          <w:sz w:val="18"/>
          <w:szCs w:val="18"/>
        </w:rPr>
        <w:t xml:space="preserve"> of the </w:t>
      </w:r>
      <w:proofErr w:type="spellStart"/>
      <w:r w:rsidRPr="00765407">
        <w:rPr>
          <w:rFonts w:ascii="Garamond" w:hAnsi="Garamond"/>
          <w:i/>
          <w:iCs/>
          <w:color w:val="000000" w:themeColor="text1"/>
          <w:sz w:val="18"/>
          <w:szCs w:val="18"/>
        </w:rPr>
        <w:t>kingdomes</w:t>
      </w:r>
      <w:proofErr w:type="spellEnd"/>
      <w:r w:rsidRPr="00765407">
        <w:rPr>
          <w:rFonts w:ascii="Garamond" w:hAnsi="Garamond"/>
          <w:i/>
          <w:iCs/>
          <w:color w:val="000000" w:themeColor="text1"/>
          <w:sz w:val="18"/>
          <w:szCs w:val="18"/>
        </w:rPr>
        <w:t xml:space="preserve"> of England, and Scotland </w:t>
      </w:r>
      <w:r w:rsidRPr="00765407">
        <w:rPr>
          <w:rFonts w:ascii="Garamond" w:hAnsi="Garamond"/>
          <w:color w:val="000000" w:themeColor="text1"/>
          <w:sz w:val="18"/>
          <w:szCs w:val="18"/>
        </w:rPr>
        <w:t xml:space="preserve">(London: Printed for </w:t>
      </w:r>
      <w:proofErr w:type="spellStart"/>
      <w:r w:rsidRPr="00765407">
        <w:rPr>
          <w:rFonts w:ascii="Garamond" w:hAnsi="Garamond"/>
          <w:color w:val="000000" w:themeColor="text1"/>
          <w:sz w:val="18"/>
          <w:szCs w:val="18"/>
        </w:rPr>
        <w:t>Fœlix</w:t>
      </w:r>
      <w:proofErr w:type="spellEnd"/>
      <w:r w:rsidRPr="00765407">
        <w:rPr>
          <w:rFonts w:ascii="Garamond" w:hAnsi="Garamond"/>
          <w:color w:val="000000" w:themeColor="text1"/>
          <w:sz w:val="18"/>
          <w:szCs w:val="18"/>
        </w:rPr>
        <w:t xml:space="preserve"> Norton, and are to be sold by William Aspley, 1603). The text is unnumbered. </w:t>
      </w:r>
    </w:p>
  </w:footnote>
  <w:footnote w:id="56">
    <w:p w14:paraId="29AFAA9B" w14:textId="77777777" w:rsidR="00E42A2B" w:rsidRPr="00765407" w:rsidRDefault="00E42A2B" w:rsidP="00E42A2B">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Bacon names the difference between these two forms of mixture only the latter of which should be considered incorporation proper. For a discussion of incorporation in Bacon’s work, see Turner, </w:t>
      </w:r>
      <w:r w:rsidRPr="00765407">
        <w:rPr>
          <w:rFonts w:ascii="Garamond" w:hAnsi="Garamond"/>
          <w:i/>
          <w:iCs/>
          <w:color w:val="000000" w:themeColor="text1"/>
          <w:sz w:val="18"/>
          <w:szCs w:val="18"/>
        </w:rPr>
        <w:t xml:space="preserve">Corporate Commonwealth, </w:t>
      </w:r>
      <w:proofErr w:type="spellStart"/>
      <w:r w:rsidRPr="00765407">
        <w:rPr>
          <w:rFonts w:ascii="Garamond" w:hAnsi="Garamond"/>
          <w:color w:val="000000" w:themeColor="text1"/>
          <w:sz w:val="18"/>
          <w:szCs w:val="18"/>
        </w:rPr>
        <w:t>ch.</w:t>
      </w:r>
      <w:proofErr w:type="spellEnd"/>
      <w:r w:rsidRPr="00765407">
        <w:rPr>
          <w:rFonts w:ascii="Garamond" w:hAnsi="Garamond"/>
          <w:color w:val="000000" w:themeColor="text1"/>
          <w:sz w:val="18"/>
          <w:szCs w:val="18"/>
        </w:rPr>
        <w:t xml:space="preserve"> 7. </w:t>
      </w:r>
    </w:p>
  </w:footnote>
  <w:footnote w:id="57">
    <w:p w14:paraId="20A8EFAB" w14:textId="77777777" w:rsidR="00E42A2B" w:rsidRPr="00765407" w:rsidRDefault="00E42A2B" w:rsidP="00E42A2B">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Francis Bacon, </w:t>
      </w:r>
      <w:r w:rsidRPr="00765407">
        <w:rPr>
          <w:rFonts w:ascii="Garamond" w:hAnsi="Garamond"/>
          <w:i/>
          <w:iCs/>
          <w:sz w:val="18"/>
          <w:szCs w:val="18"/>
        </w:rPr>
        <w:t xml:space="preserve">The Works of Francis Bacon, Lord Chancellor of England. </w:t>
      </w:r>
      <w:r w:rsidRPr="00765407">
        <w:rPr>
          <w:rFonts w:ascii="Garamond" w:hAnsi="Garamond"/>
          <w:sz w:val="18"/>
          <w:szCs w:val="18"/>
        </w:rPr>
        <w:t>Vol II. (Philadelphia: Carey and Hart, 1842),</w:t>
      </w:r>
      <w:r w:rsidRPr="00765407">
        <w:rPr>
          <w:rFonts w:ascii="Garamond" w:hAnsi="Garamond"/>
          <w:i/>
          <w:iCs/>
          <w:sz w:val="18"/>
          <w:szCs w:val="18"/>
        </w:rPr>
        <w:t xml:space="preserve"> </w:t>
      </w:r>
      <w:r w:rsidRPr="00765407">
        <w:rPr>
          <w:rFonts w:ascii="Garamond" w:hAnsi="Garamond"/>
          <w:sz w:val="18"/>
          <w:szCs w:val="18"/>
        </w:rPr>
        <w:t>176.</w:t>
      </w:r>
    </w:p>
  </w:footnote>
  <w:footnote w:id="58">
    <w:p w14:paraId="0BFF35D0" w14:textId="77777777" w:rsidR="00E42A2B" w:rsidRPr="00765407" w:rsidRDefault="00E42A2B" w:rsidP="00E42A2B">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w:t>
      </w:r>
      <w:r w:rsidRPr="00765407">
        <w:rPr>
          <w:rFonts w:ascii="Garamond" w:hAnsi="Garamond"/>
          <w:i/>
          <w:iCs/>
          <w:color w:val="000000" w:themeColor="text1"/>
          <w:sz w:val="18"/>
          <w:szCs w:val="18"/>
        </w:rPr>
        <w:t xml:space="preserve">Ibid., </w:t>
      </w:r>
      <w:r w:rsidRPr="00765407">
        <w:rPr>
          <w:rFonts w:ascii="Garamond" w:hAnsi="Garamond"/>
          <w:sz w:val="18"/>
          <w:szCs w:val="18"/>
        </w:rPr>
        <w:t>177</w:t>
      </w:r>
      <w:r w:rsidRPr="00765407">
        <w:rPr>
          <w:rFonts w:ascii="Garamond" w:hAnsi="Garamond"/>
          <w:color w:val="000000" w:themeColor="text1"/>
          <w:sz w:val="18"/>
          <w:szCs w:val="18"/>
        </w:rPr>
        <w:t>.</w:t>
      </w:r>
    </w:p>
  </w:footnote>
  <w:footnote w:id="59">
    <w:p w14:paraId="58C01300" w14:textId="77777777" w:rsidR="00E42A2B" w:rsidRPr="00765407" w:rsidRDefault="00E42A2B" w:rsidP="00E42A2B">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r w:rsidRPr="00765407">
        <w:rPr>
          <w:rFonts w:ascii="Garamond" w:hAnsi="Garamond"/>
          <w:i/>
          <w:iCs/>
          <w:sz w:val="18"/>
          <w:szCs w:val="18"/>
          <w:lang w:val="en-US"/>
        </w:rPr>
        <w:t>Ibid</w:t>
      </w:r>
      <w:r w:rsidRPr="00765407">
        <w:rPr>
          <w:rFonts w:ascii="Garamond" w:hAnsi="Garamond"/>
          <w:sz w:val="18"/>
          <w:szCs w:val="18"/>
          <w:lang w:val="en-US"/>
        </w:rPr>
        <w:t xml:space="preserve">., </w:t>
      </w:r>
    </w:p>
  </w:footnote>
  <w:footnote w:id="60">
    <w:p w14:paraId="5BA5C7CE" w14:textId="09075226" w:rsidR="00E42A2B" w:rsidRPr="00765407" w:rsidRDefault="00E42A2B" w:rsidP="00E42A2B">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The political importance that Bacon ascribes to the king’s natural body for unifying the disparate kingdoms was not an innovation on his part</w:t>
      </w:r>
      <w:r w:rsidR="00FA5791" w:rsidRPr="00765407">
        <w:rPr>
          <w:rFonts w:ascii="Garamond" w:hAnsi="Garamond"/>
          <w:sz w:val="18"/>
          <w:szCs w:val="18"/>
        </w:rPr>
        <w:t xml:space="preserve">. </w:t>
      </w:r>
      <w:r w:rsidRPr="00765407">
        <w:rPr>
          <w:rFonts w:ascii="Garamond" w:hAnsi="Garamond"/>
          <w:sz w:val="18"/>
          <w:szCs w:val="18"/>
        </w:rPr>
        <w:t xml:space="preserve">James had made similar statements before </w:t>
      </w:r>
      <w:r w:rsidRPr="00765407">
        <w:rPr>
          <w:rFonts w:ascii="Garamond" w:hAnsi="Garamond"/>
          <w:color w:val="000000" w:themeColor="text1"/>
          <w:sz w:val="18"/>
          <w:szCs w:val="18"/>
        </w:rPr>
        <w:t xml:space="preserve">his first parliament on 22 </w:t>
      </w:r>
      <w:proofErr w:type="gramStart"/>
      <w:r w:rsidRPr="00765407">
        <w:rPr>
          <w:rFonts w:ascii="Garamond" w:hAnsi="Garamond"/>
          <w:color w:val="000000" w:themeColor="text1"/>
          <w:sz w:val="18"/>
          <w:szCs w:val="18"/>
        </w:rPr>
        <w:t>march</w:t>
      </w:r>
      <w:proofErr w:type="gramEnd"/>
      <w:r w:rsidRPr="00765407">
        <w:rPr>
          <w:rFonts w:ascii="Garamond" w:hAnsi="Garamond"/>
          <w:color w:val="000000" w:themeColor="text1"/>
          <w:sz w:val="18"/>
          <w:szCs w:val="18"/>
        </w:rPr>
        <w:t xml:space="preserve"> 1603/4</w:t>
      </w:r>
      <w:r w:rsidR="00FA5791" w:rsidRPr="00765407">
        <w:rPr>
          <w:rFonts w:ascii="Garamond" w:hAnsi="Garamond"/>
          <w:color w:val="000000" w:themeColor="text1"/>
          <w:sz w:val="18"/>
          <w:szCs w:val="18"/>
        </w:rPr>
        <w:t>. See, “</w:t>
      </w:r>
      <w:r w:rsidRPr="00765407">
        <w:rPr>
          <w:rFonts w:ascii="Garamond" w:hAnsi="Garamond"/>
          <w:color w:val="000000" w:themeColor="text1"/>
          <w:sz w:val="18"/>
          <w:szCs w:val="18"/>
          <w:shd w:val="clear" w:color="auto" w:fill="FFFFFF"/>
        </w:rPr>
        <w:t>House of Commons Journal Volume 1: 22 March 1604” in </w:t>
      </w:r>
      <w:r w:rsidRPr="00765407">
        <w:rPr>
          <w:rStyle w:val="Emphasis"/>
          <w:rFonts w:ascii="Garamond" w:hAnsi="Garamond"/>
          <w:color w:val="000000" w:themeColor="text1"/>
          <w:sz w:val="18"/>
          <w:szCs w:val="18"/>
          <w:shd w:val="clear" w:color="auto" w:fill="FFFFFF"/>
        </w:rPr>
        <w:t>Journal of the House of Commons: Volume 1, 1547-1629</w:t>
      </w:r>
      <w:r w:rsidRPr="00765407">
        <w:rPr>
          <w:rFonts w:ascii="Garamond" w:hAnsi="Garamond"/>
          <w:color w:val="000000" w:themeColor="text1"/>
          <w:sz w:val="18"/>
          <w:szCs w:val="18"/>
          <w:shd w:val="clear" w:color="auto" w:fill="FFFFFF"/>
        </w:rPr>
        <w:t> (London, 1802), 142-3. Similarly, i</w:t>
      </w:r>
      <w:r w:rsidRPr="00765407">
        <w:rPr>
          <w:rFonts w:ascii="Garamond" w:hAnsi="Garamond"/>
          <w:sz w:val="18"/>
          <w:szCs w:val="18"/>
        </w:rPr>
        <w:t xml:space="preserve">n his arguments on Calvin’s case, Edward Coke argued that </w:t>
      </w:r>
      <w:r w:rsidRPr="00765407">
        <w:rPr>
          <w:rFonts w:ascii="Garamond" w:hAnsi="Garamond"/>
          <w:color w:val="000000" w:themeColor="text1"/>
          <w:sz w:val="18"/>
          <w:szCs w:val="18"/>
        </w:rPr>
        <w:t xml:space="preserve">the unity of England and Scotland rested on the claim that, ever since King Arthur, Scottish allegiance had been sworn to the king’s body natural. See Axton, </w:t>
      </w:r>
      <w:r w:rsidRPr="00765407">
        <w:rPr>
          <w:rFonts w:ascii="Garamond" w:hAnsi="Garamond"/>
          <w:i/>
          <w:iCs/>
          <w:color w:val="000000" w:themeColor="text1"/>
          <w:sz w:val="18"/>
          <w:szCs w:val="18"/>
        </w:rPr>
        <w:t xml:space="preserve">The Queen’s Two Bodies, </w:t>
      </w:r>
      <w:r w:rsidRPr="00765407">
        <w:rPr>
          <w:rFonts w:ascii="Garamond" w:hAnsi="Garamond"/>
          <w:color w:val="000000" w:themeColor="text1"/>
          <w:sz w:val="18"/>
          <w:szCs w:val="18"/>
        </w:rPr>
        <w:t>75.</w:t>
      </w:r>
    </w:p>
  </w:footnote>
  <w:footnote w:id="61">
    <w:p w14:paraId="692826A4" w14:textId="77777777" w:rsidR="00E42A2B" w:rsidRPr="00765407" w:rsidRDefault="00E42A2B" w:rsidP="00E42A2B">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Bacon, </w:t>
      </w:r>
      <w:r w:rsidRPr="00765407">
        <w:rPr>
          <w:rFonts w:ascii="Garamond" w:hAnsi="Garamond"/>
          <w:i/>
          <w:iCs/>
          <w:sz w:val="18"/>
          <w:szCs w:val="18"/>
        </w:rPr>
        <w:t xml:space="preserve">The Works of Francis Bacon, </w:t>
      </w:r>
      <w:r w:rsidRPr="00765407">
        <w:rPr>
          <w:rFonts w:ascii="Garamond" w:hAnsi="Garamond"/>
          <w:sz w:val="18"/>
          <w:szCs w:val="18"/>
        </w:rPr>
        <w:t xml:space="preserve">177. </w:t>
      </w:r>
    </w:p>
  </w:footnote>
  <w:footnote w:id="62">
    <w:p w14:paraId="445F580A" w14:textId="2704810E" w:rsidR="00E42A2B" w:rsidRPr="00765407" w:rsidRDefault="00E42A2B" w:rsidP="00E42A2B">
      <w:pPr>
        <w:rPr>
          <w:rFonts w:ascii="Garamond" w:hAnsi="Garamond"/>
          <w:color w:val="000000" w:themeColor="text1"/>
          <w:sz w:val="18"/>
          <w:szCs w:val="18"/>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w:t>
      </w:r>
      <w:r w:rsidRPr="00765407">
        <w:rPr>
          <w:rFonts w:ascii="Garamond" w:hAnsi="Garamond"/>
          <w:sz w:val="18"/>
          <w:szCs w:val="18"/>
        </w:rPr>
        <w:t xml:space="preserve">Bacon, </w:t>
      </w:r>
      <w:r w:rsidRPr="00765407">
        <w:rPr>
          <w:rFonts w:ascii="Garamond" w:hAnsi="Garamond"/>
          <w:i/>
          <w:iCs/>
          <w:sz w:val="18"/>
          <w:szCs w:val="18"/>
        </w:rPr>
        <w:t xml:space="preserve">The Works of Francis Bacon, </w:t>
      </w:r>
      <w:r w:rsidRPr="00765407">
        <w:rPr>
          <w:rFonts w:ascii="Garamond" w:hAnsi="Garamond"/>
          <w:sz w:val="18"/>
          <w:szCs w:val="18"/>
        </w:rPr>
        <w:t xml:space="preserve">177. </w:t>
      </w:r>
    </w:p>
  </w:footnote>
  <w:footnote w:id="63">
    <w:p w14:paraId="18C15825" w14:textId="77777777" w:rsidR="00E42A2B" w:rsidRPr="00765407" w:rsidRDefault="00E42A2B" w:rsidP="00E42A2B">
      <w:pPr>
        <w:pStyle w:val="FootnoteText"/>
        <w:rPr>
          <w:rFonts w:ascii="Garamond" w:hAnsi="Garamond"/>
          <w:color w:val="000000" w:themeColor="text1"/>
          <w:sz w:val="18"/>
          <w:szCs w:val="18"/>
          <w:lang w:val="en-US"/>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Turner, </w:t>
      </w:r>
      <w:r w:rsidRPr="00765407">
        <w:rPr>
          <w:rFonts w:ascii="Garamond" w:hAnsi="Garamond"/>
          <w:i/>
          <w:iCs/>
          <w:color w:val="000000" w:themeColor="text1"/>
          <w:sz w:val="18"/>
          <w:szCs w:val="18"/>
        </w:rPr>
        <w:t xml:space="preserve">The Corporate Commonwealth, </w:t>
      </w:r>
      <w:r w:rsidRPr="00765407">
        <w:rPr>
          <w:rFonts w:ascii="Garamond" w:hAnsi="Garamond"/>
          <w:color w:val="000000" w:themeColor="text1"/>
          <w:sz w:val="18"/>
          <w:szCs w:val="18"/>
        </w:rPr>
        <w:t xml:space="preserve">23, emphasis in original. </w:t>
      </w:r>
    </w:p>
  </w:footnote>
  <w:footnote w:id="64">
    <w:p w14:paraId="4C5F351E" w14:textId="77777777" w:rsidR="00E42A2B" w:rsidRPr="00765407" w:rsidRDefault="00E42A2B" w:rsidP="00E42A2B">
      <w:pPr>
        <w:rPr>
          <w:rFonts w:ascii="Garamond" w:hAnsi="Garamond"/>
          <w:color w:val="000000" w:themeColor="text1"/>
          <w:sz w:val="18"/>
          <w:szCs w:val="18"/>
          <w:lang w:val="fr-CA"/>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rPr>
        <w:t xml:space="preserve"> On the relationship between incarnation and incorporation, see Thomas </w:t>
      </w:r>
      <w:proofErr w:type="spellStart"/>
      <w:r w:rsidRPr="00765407">
        <w:rPr>
          <w:rFonts w:ascii="Garamond" w:hAnsi="Garamond"/>
          <w:color w:val="000000" w:themeColor="text1"/>
          <w:sz w:val="18"/>
          <w:szCs w:val="18"/>
        </w:rPr>
        <w:t>Berns</w:t>
      </w:r>
      <w:proofErr w:type="spellEnd"/>
      <w:r w:rsidRPr="00765407">
        <w:rPr>
          <w:rFonts w:ascii="Garamond" w:hAnsi="Garamond"/>
          <w:color w:val="000000" w:themeColor="text1"/>
          <w:sz w:val="18"/>
          <w:szCs w:val="18"/>
        </w:rPr>
        <w:t xml:space="preserve"> and Benoît </w:t>
      </w:r>
      <w:proofErr w:type="spellStart"/>
      <w:r w:rsidRPr="00765407">
        <w:rPr>
          <w:rFonts w:ascii="Garamond" w:hAnsi="Garamond"/>
          <w:color w:val="000000" w:themeColor="text1"/>
          <w:sz w:val="18"/>
          <w:szCs w:val="18"/>
        </w:rPr>
        <w:t>Frydman</w:t>
      </w:r>
      <w:proofErr w:type="spellEnd"/>
      <w:r w:rsidRPr="00765407">
        <w:rPr>
          <w:rFonts w:ascii="Garamond" w:hAnsi="Garamond"/>
          <w:color w:val="000000" w:themeColor="text1"/>
          <w:sz w:val="18"/>
          <w:szCs w:val="18"/>
        </w:rPr>
        <w:t xml:space="preserve">. </w:t>
      </w:r>
      <w:r w:rsidRPr="00765407">
        <w:rPr>
          <w:rFonts w:ascii="Garamond" w:hAnsi="Garamond"/>
          <w:color w:val="000000" w:themeColor="text1"/>
          <w:sz w:val="18"/>
          <w:szCs w:val="18"/>
          <w:lang w:val="fr-CA"/>
        </w:rPr>
        <w:t xml:space="preserve">2005.“Généalogie de l'esprit de corps” in </w:t>
      </w:r>
      <w:r w:rsidRPr="00765407">
        <w:rPr>
          <w:rFonts w:ascii="Garamond" w:hAnsi="Garamond"/>
          <w:i/>
          <w:iCs/>
          <w:color w:val="000000" w:themeColor="text1"/>
          <w:sz w:val="18"/>
          <w:szCs w:val="18"/>
          <w:lang w:val="fr-CA"/>
        </w:rPr>
        <w:t xml:space="preserve">L'esprit de corps, démocratie et espace public, </w:t>
      </w:r>
      <w:r w:rsidRPr="00765407">
        <w:rPr>
          <w:rFonts w:ascii="Garamond" w:hAnsi="Garamond"/>
          <w:color w:val="000000" w:themeColor="text1"/>
          <w:sz w:val="18"/>
          <w:szCs w:val="18"/>
          <w:lang w:val="fr-CA"/>
        </w:rPr>
        <w:t>(</w:t>
      </w:r>
      <w:proofErr w:type="spellStart"/>
      <w:r w:rsidRPr="00765407">
        <w:rPr>
          <w:rFonts w:ascii="Garamond" w:hAnsi="Garamond"/>
          <w:color w:val="000000" w:themeColor="text1"/>
          <w:sz w:val="18"/>
          <w:szCs w:val="18"/>
          <w:lang w:val="fr-CA"/>
        </w:rPr>
        <w:t>eds</w:t>
      </w:r>
      <w:proofErr w:type="spellEnd"/>
      <w:r w:rsidRPr="00765407">
        <w:rPr>
          <w:rFonts w:ascii="Garamond" w:hAnsi="Garamond"/>
          <w:color w:val="000000" w:themeColor="text1"/>
          <w:sz w:val="18"/>
          <w:szCs w:val="18"/>
          <w:lang w:val="fr-CA"/>
        </w:rPr>
        <w:t xml:space="preserve">.) Gilles </w:t>
      </w:r>
      <w:proofErr w:type="spellStart"/>
      <w:r w:rsidRPr="00765407">
        <w:rPr>
          <w:rFonts w:ascii="Garamond" w:hAnsi="Garamond"/>
          <w:color w:val="000000" w:themeColor="text1"/>
          <w:sz w:val="18"/>
          <w:szCs w:val="18"/>
          <w:lang w:val="fr-CA"/>
        </w:rPr>
        <w:t>Guglielmi</w:t>
      </w:r>
      <w:proofErr w:type="spellEnd"/>
      <w:r w:rsidRPr="00765407">
        <w:rPr>
          <w:rFonts w:ascii="Garamond" w:hAnsi="Garamond"/>
          <w:color w:val="000000" w:themeColor="text1"/>
          <w:sz w:val="18"/>
          <w:szCs w:val="18"/>
          <w:lang w:val="fr-CA"/>
        </w:rPr>
        <w:t xml:space="preserve"> &amp; Claudine </w:t>
      </w:r>
      <w:proofErr w:type="spellStart"/>
      <w:r w:rsidRPr="00765407">
        <w:rPr>
          <w:rFonts w:ascii="Garamond" w:hAnsi="Garamond"/>
          <w:color w:val="000000" w:themeColor="text1"/>
          <w:sz w:val="18"/>
          <w:szCs w:val="18"/>
          <w:lang w:val="fr-CA"/>
        </w:rPr>
        <w:t>Haroche</w:t>
      </w:r>
      <w:proofErr w:type="spellEnd"/>
      <w:r w:rsidRPr="00765407">
        <w:rPr>
          <w:rFonts w:ascii="Garamond" w:hAnsi="Garamond"/>
          <w:color w:val="000000" w:themeColor="text1"/>
          <w:sz w:val="18"/>
          <w:szCs w:val="18"/>
          <w:lang w:val="fr-CA"/>
        </w:rPr>
        <w:t xml:space="preserve">, Presses Universitaires de France: pp. </w:t>
      </w:r>
      <w:r w:rsidRPr="00765407">
        <w:rPr>
          <w:rFonts w:ascii="Garamond" w:hAnsi="Garamond"/>
          <w:color w:val="000000" w:themeColor="text1"/>
          <w:sz w:val="18"/>
          <w:szCs w:val="18"/>
          <w:shd w:val="clear" w:color="auto" w:fill="FFFFFF"/>
          <w:lang w:val="fr-CA"/>
        </w:rPr>
        <w:t xml:space="preserve">157-181; </w:t>
      </w:r>
      <w:r w:rsidRPr="00765407">
        <w:rPr>
          <w:rFonts w:ascii="Garamond" w:hAnsi="Garamond"/>
          <w:color w:val="000000" w:themeColor="text1"/>
          <w:sz w:val="18"/>
          <w:szCs w:val="18"/>
          <w:lang w:val="fr-CA"/>
        </w:rPr>
        <w:t xml:space="preserve">Henry Turner, </w:t>
      </w:r>
      <w:proofErr w:type="spellStart"/>
      <w:r w:rsidRPr="00765407">
        <w:rPr>
          <w:rFonts w:ascii="Garamond" w:hAnsi="Garamond"/>
          <w:i/>
          <w:iCs/>
          <w:color w:val="000000" w:themeColor="text1"/>
          <w:sz w:val="18"/>
          <w:szCs w:val="18"/>
          <w:lang w:val="fr-CA"/>
        </w:rPr>
        <w:t>Corporate</w:t>
      </w:r>
      <w:proofErr w:type="spellEnd"/>
      <w:r w:rsidRPr="00765407">
        <w:rPr>
          <w:rFonts w:ascii="Garamond" w:hAnsi="Garamond"/>
          <w:i/>
          <w:iCs/>
          <w:color w:val="000000" w:themeColor="text1"/>
          <w:sz w:val="18"/>
          <w:szCs w:val="18"/>
          <w:lang w:val="fr-CA"/>
        </w:rPr>
        <w:t xml:space="preserve"> Commonwealth, </w:t>
      </w:r>
      <w:r w:rsidRPr="00765407">
        <w:rPr>
          <w:rFonts w:ascii="Garamond" w:hAnsi="Garamond"/>
          <w:color w:val="000000" w:themeColor="text1"/>
          <w:sz w:val="18"/>
          <w:szCs w:val="18"/>
          <w:lang w:val="fr-CA"/>
        </w:rPr>
        <w:t>70-71;</w:t>
      </w:r>
      <w:r w:rsidRPr="00765407">
        <w:rPr>
          <w:rFonts w:ascii="Garamond" w:hAnsi="Garamond"/>
          <w:color w:val="000000" w:themeColor="text1"/>
          <w:sz w:val="18"/>
          <w:szCs w:val="18"/>
          <w:shd w:val="clear" w:color="auto" w:fill="FFFFFF"/>
          <w:lang w:val="fr-CA"/>
        </w:rPr>
        <w:t xml:space="preserve"> </w:t>
      </w:r>
      <w:proofErr w:type="spellStart"/>
      <w:r w:rsidRPr="00765407">
        <w:rPr>
          <w:rFonts w:ascii="Garamond" w:hAnsi="Garamond"/>
          <w:color w:val="000000" w:themeColor="text1"/>
          <w:sz w:val="18"/>
          <w:szCs w:val="18"/>
          <w:shd w:val="clear" w:color="auto" w:fill="FFFFFF"/>
          <w:lang w:val="fr-CA"/>
        </w:rPr>
        <w:t>Santner</w:t>
      </w:r>
      <w:proofErr w:type="spellEnd"/>
      <w:r w:rsidRPr="00765407">
        <w:rPr>
          <w:rFonts w:ascii="Garamond" w:hAnsi="Garamond"/>
          <w:color w:val="000000" w:themeColor="text1"/>
          <w:sz w:val="18"/>
          <w:szCs w:val="18"/>
          <w:shd w:val="clear" w:color="auto" w:fill="FFFFFF"/>
          <w:lang w:val="fr-CA"/>
        </w:rPr>
        <w:t xml:space="preserve">, </w:t>
      </w:r>
      <w:r w:rsidRPr="00765407">
        <w:rPr>
          <w:rFonts w:ascii="Garamond" w:hAnsi="Garamond"/>
          <w:i/>
          <w:iCs/>
          <w:color w:val="000000" w:themeColor="text1"/>
          <w:sz w:val="18"/>
          <w:szCs w:val="18"/>
          <w:shd w:val="clear" w:color="auto" w:fill="FFFFFF"/>
          <w:lang w:val="fr-CA"/>
        </w:rPr>
        <w:t xml:space="preserve">The Royal </w:t>
      </w:r>
      <w:proofErr w:type="spellStart"/>
      <w:r w:rsidRPr="00765407">
        <w:rPr>
          <w:rFonts w:ascii="Garamond" w:hAnsi="Garamond"/>
          <w:i/>
          <w:iCs/>
          <w:color w:val="000000" w:themeColor="text1"/>
          <w:sz w:val="18"/>
          <w:szCs w:val="18"/>
          <w:shd w:val="clear" w:color="auto" w:fill="FFFFFF"/>
          <w:lang w:val="fr-CA"/>
        </w:rPr>
        <w:t>Remains</w:t>
      </w:r>
      <w:proofErr w:type="spellEnd"/>
      <w:r w:rsidRPr="00765407">
        <w:rPr>
          <w:rFonts w:ascii="Garamond" w:hAnsi="Garamond"/>
          <w:color w:val="000000" w:themeColor="text1"/>
          <w:sz w:val="18"/>
          <w:szCs w:val="18"/>
          <w:shd w:val="clear" w:color="auto" w:fill="FFFFFF"/>
          <w:lang w:val="fr-CA"/>
        </w:rPr>
        <w:t xml:space="preserve">. </w:t>
      </w:r>
    </w:p>
  </w:footnote>
  <w:footnote w:id="65">
    <w:p w14:paraId="7B85AA25" w14:textId="77777777" w:rsidR="00E42A2B" w:rsidRPr="00765407" w:rsidRDefault="00E42A2B" w:rsidP="00E42A2B">
      <w:pPr>
        <w:pStyle w:val="FootnoteText"/>
        <w:rPr>
          <w:rFonts w:ascii="Garamond" w:hAnsi="Garamond"/>
          <w:color w:val="000000" w:themeColor="text1"/>
          <w:sz w:val="18"/>
          <w:szCs w:val="18"/>
          <w:lang w:val="fr-CA"/>
        </w:rPr>
      </w:pPr>
      <w:r w:rsidRPr="00765407">
        <w:rPr>
          <w:rStyle w:val="FootnoteReference"/>
          <w:rFonts w:ascii="Garamond" w:hAnsi="Garamond"/>
          <w:color w:val="000000" w:themeColor="text1"/>
          <w:sz w:val="18"/>
          <w:szCs w:val="18"/>
        </w:rPr>
        <w:footnoteRef/>
      </w:r>
      <w:r w:rsidRPr="00765407">
        <w:rPr>
          <w:rFonts w:ascii="Garamond" w:hAnsi="Garamond"/>
          <w:color w:val="000000" w:themeColor="text1"/>
          <w:sz w:val="18"/>
          <w:szCs w:val="18"/>
          <w:lang w:val="fr-CA"/>
        </w:rPr>
        <w:t xml:space="preserve"> </w:t>
      </w:r>
      <w:proofErr w:type="spellStart"/>
      <w:r w:rsidRPr="00765407">
        <w:rPr>
          <w:rFonts w:ascii="Garamond" w:hAnsi="Garamond"/>
          <w:color w:val="000000" w:themeColor="text1"/>
          <w:sz w:val="18"/>
          <w:szCs w:val="18"/>
          <w:lang w:val="fr-CA"/>
        </w:rPr>
        <w:t>Quoted</w:t>
      </w:r>
      <w:proofErr w:type="spellEnd"/>
      <w:r w:rsidRPr="00765407">
        <w:rPr>
          <w:rFonts w:ascii="Garamond" w:hAnsi="Garamond"/>
          <w:color w:val="000000" w:themeColor="text1"/>
          <w:sz w:val="18"/>
          <w:szCs w:val="18"/>
          <w:lang w:val="fr-CA"/>
        </w:rPr>
        <w:t xml:space="preserve"> in Kantorowicz, </w:t>
      </w:r>
      <w:r w:rsidRPr="00765407">
        <w:rPr>
          <w:rFonts w:ascii="Garamond" w:hAnsi="Garamond"/>
          <w:i/>
          <w:iCs/>
          <w:color w:val="000000" w:themeColor="text1"/>
          <w:sz w:val="18"/>
          <w:szCs w:val="18"/>
          <w:lang w:val="fr-CA"/>
        </w:rPr>
        <w:t xml:space="preserve">The </w:t>
      </w:r>
      <w:proofErr w:type="spellStart"/>
      <w:r w:rsidRPr="00765407">
        <w:rPr>
          <w:rFonts w:ascii="Garamond" w:hAnsi="Garamond"/>
          <w:i/>
          <w:iCs/>
          <w:color w:val="000000" w:themeColor="text1"/>
          <w:sz w:val="18"/>
          <w:szCs w:val="18"/>
          <w:lang w:val="fr-CA"/>
        </w:rPr>
        <w:t>King’s</w:t>
      </w:r>
      <w:proofErr w:type="spellEnd"/>
      <w:r w:rsidRPr="00765407">
        <w:rPr>
          <w:rFonts w:ascii="Garamond" w:hAnsi="Garamond"/>
          <w:i/>
          <w:iCs/>
          <w:color w:val="000000" w:themeColor="text1"/>
          <w:sz w:val="18"/>
          <w:szCs w:val="18"/>
          <w:lang w:val="fr-CA"/>
        </w:rPr>
        <w:t xml:space="preserve"> </w:t>
      </w:r>
      <w:proofErr w:type="spellStart"/>
      <w:r w:rsidRPr="00765407">
        <w:rPr>
          <w:rFonts w:ascii="Garamond" w:hAnsi="Garamond"/>
          <w:i/>
          <w:iCs/>
          <w:color w:val="000000" w:themeColor="text1"/>
          <w:sz w:val="18"/>
          <w:szCs w:val="18"/>
          <w:lang w:val="fr-CA"/>
        </w:rPr>
        <w:t>Two</w:t>
      </w:r>
      <w:proofErr w:type="spellEnd"/>
      <w:r w:rsidRPr="00765407">
        <w:rPr>
          <w:rFonts w:ascii="Garamond" w:hAnsi="Garamond"/>
          <w:i/>
          <w:iCs/>
          <w:color w:val="000000" w:themeColor="text1"/>
          <w:sz w:val="18"/>
          <w:szCs w:val="18"/>
          <w:lang w:val="fr-CA"/>
        </w:rPr>
        <w:t xml:space="preserve"> Bodies</w:t>
      </w:r>
      <w:r w:rsidRPr="00765407">
        <w:rPr>
          <w:rFonts w:ascii="Garamond" w:hAnsi="Garamond"/>
          <w:color w:val="000000" w:themeColor="text1"/>
          <w:sz w:val="18"/>
          <w:szCs w:val="18"/>
          <w:lang w:val="fr-CA"/>
        </w:rPr>
        <w:t xml:space="preserve">, 28. </w:t>
      </w:r>
    </w:p>
  </w:footnote>
  <w:footnote w:id="66">
    <w:p w14:paraId="3B2F390A" w14:textId="58BFEB64" w:rsidR="004A034D" w:rsidRPr="00765407" w:rsidRDefault="004A034D" w:rsidP="0038727C">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r w:rsidR="0038727C" w:rsidRPr="00765407">
        <w:rPr>
          <w:rFonts w:ascii="Garamond" w:hAnsi="Garamond"/>
          <w:sz w:val="18"/>
          <w:szCs w:val="18"/>
        </w:rPr>
        <w:t xml:space="preserve">C. L. R. James, </w:t>
      </w:r>
      <w:r w:rsidR="0038727C" w:rsidRPr="00765407">
        <w:rPr>
          <w:rFonts w:ascii="Garamond" w:hAnsi="Garamond"/>
          <w:i/>
          <w:iCs/>
          <w:sz w:val="18"/>
          <w:szCs w:val="18"/>
        </w:rPr>
        <w:t>The Black Jacobins</w:t>
      </w:r>
      <w:r w:rsidR="0038727C" w:rsidRPr="00765407">
        <w:rPr>
          <w:rFonts w:ascii="Garamond" w:hAnsi="Garamond"/>
          <w:sz w:val="18"/>
          <w:szCs w:val="18"/>
        </w:rPr>
        <w:t xml:space="preserve">: </w:t>
      </w:r>
      <w:r w:rsidR="0038727C" w:rsidRPr="00765407">
        <w:rPr>
          <w:rFonts w:ascii="Garamond" w:hAnsi="Garamond"/>
          <w:i/>
          <w:iCs/>
          <w:sz w:val="18"/>
          <w:szCs w:val="18"/>
        </w:rPr>
        <w:t xml:space="preserve">Toussaint </w:t>
      </w:r>
      <w:proofErr w:type="spellStart"/>
      <w:r w:rsidR="0038727C" w:rsidRPr="00765407">
        <w:rPr>
          <w:rFonts w:ascii="Garamond" w:hAnsi="Garamond"/>
          <w:i/>
          <w:iCs/>
          <w:sz w:val="18"/>
          <w:szCs w:val="18"/>
        </w:rPr>
        <w:t>L’ouverture</w:t>
      </w:r>
      <w:proofErr w:type="spellEnd"/>
      <w:r w:rsidR="0038727C" w:rsidRPr="00765407">
        <w:rPr>
          <w:rFonts w:ascii="Garamond" w:hAnsi="Garamond"/>
          <w:i/>
          <w:iCs/>
          <w:sz w:val="18"/>
          <w:szCs w:val="18"/>
        </w:rPr>
        <w:t xml:space="preserve"> and the San Domingo Revolution</w:t>
      </w:r>
      <w:r w:rsidR="0038727C" w:rsidRPr="00765407">
        <w:rPr>
          <w:rFonts w:ascii="Garamond" w:hAnsi="Garamond"/>
          <w:sz w:val="18"/>
          <w:szCs w:val="18"/>
        </w:rPr>
        <w:t xml:space="preserve"> (New York: Vintage, 1989), 139-141. </w:t>
      </w:r>
    </w:p>
  </w:footnote>
  <w:footnote w:id="67">
    <w:p w14:paraId="3B3054E9" w14:textId="2E07677F" w:rsidR="008F3804" w:rsidRPr="00765407" w:rsidRDefault="00172437" w:rsidP="007F49DC">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James </w:t>
      </w:r>
      <w:r w:rsidR="008F3804" w:rsidRPr="00765407">
        <w:rPr>
          <w:rFonts w:ascii="Garamond" w:hAnsi="Garamond"/>
          <w:sz w:val="18"/>
          <w:szCs w:val="18"/>
        </w:rPr>
        <w:t xml:space="preserve">describes the convention as having “been </w:t>
      </w:r>
      <w:r w:rsidR="008F3804" w:rsidRPr="00765407">
        <w:rPr>
          <w:rFonts w:ascii="Garamond" w:hAnsi="Garamond"/>
          <w:sz w:val="18"/>
          <w:szCs w:val="18"/>
        </w:rPr>
        <w:t xml:space="preserve">swept off its feet by an </w:t>
      </w:r>
      <w:r w:rsidR="008F3804" w:rsidRPr="007F49DC">
        <w:rPr>
          <w:rFonts w:ascii="Garamond" w:hAnsi="Garamond"/>
          <w:sz w:val="18"/>
          <w:szCs w:val="18"/>
        </w:rPr>
        <w:t>excess of feeling</w:t>
      </w:r>
      <w:r w:rsidR="008F3804" w:rsidRPr="007F49DC">
        <w:rPr>
          <w:rFonts w:ascii="Garamond" w:hAnsi="Garamond"/>
          <w:sz w:val="18"/>
          <w:szCs w:val="18"/>
        </w:rPr>
        <w:t>” but that it was a kind of non-event</w:t>
      </w:r>
      <w:r w:rsidR="007F49DC" w:rsidRPr="007F49DC">
        <w:rPr>
          <w:rFonts w:ascii="Garamond" w:hAnsi="Garamond"/>
          <w:sz w:val="18"/>
          <w:szCs w:val="18"/>
        </w:rPr>
        <w:t>, since t</w:t>
      </w:r>
      <w:r w:rsidR="008F3804" w:rsidRPr="007F49DC">
        <w:rPr>
          <w:rFonts w:ascii="Garamond" w:hAnsi="Garamond"/>
          <w:sz w:val="18"/>
          <w:szCs w:val="18"/>
        </w:rPr>
        <w:t>he</w:t>
      </w:r>
      <w:r w:rsidR="008F3804" w:rsidRPr="007F49DC">
        <w:rPr>
          <w:rFonts w:ascii="Garamond" w:hAnsi="Garamond"/>
          <w:sz w:val="18"/>
          <w:szCs w:val="18"/>
        </w:rPr>
        <w:t xml:space="preserve"> revolution had already effectively ended slavery</w:t>
      </w:r>
      <w:r w:rsidR="008F3804" w:rsidRPr="007F49DC">
        <w:rPr>
          <w:rFonts w:ascii="Garamond" w:hAnsi="Garamond"/>
          <w:sz w:val="18"/>
          <w:szCs w:val="18"/>
        </w:rPr>
        <w:t xml:space="preserve">. </w:t>
      </w:r>
      <w:r w:rsidRPr="007F49DC">
        <w:rPr>
          <w:rFonts w:ascii="Garamond" w:hAnsi="Garamond"/>
          <w:sz w:val="18"/>
          <w:szCs w:val="18"/>
        </w:rPr>
        <w:t>“</w:t>
      </w:r>
      <w:r w:rsidRPr="007F49DC">
        <w:rPr>
          <w:rFonts w:ascii="Garamond" w:hAnsi="Garamond"/>
          <w:sz w:val="18"/>
          <w:szCs w:val="18"/>
        </w:rPr>
        <w:t>Long before abolition the mischief had</w:t>
      </w:r>
      <w:r w:rsidR="008F3804" w:rsidRPr="007F49DC">
        <w:rPr>
          <w:rFonts w:ascii="Garamond" w:hAnsi="Garamond"/>
          <w:sz w:val="18"/>
          <w:szCs w:val="18"/>
        </w:rPr>
        <w:t xml:space="preserve"> </w:t>
      </w:r>
      <w:r w:rsidRPr="007F49DC">
        <w:rPr>
          <w:rFonts w:ascii="Garamond" w:hAnsi="Garamond"/>
          <w:sz w:val="18"/>
          <w:szCs w:val="18"/>
        </w:rPr>
        <w:t>been done in the French colonies</w:t>
      </w:r>
      <w:r w:rsidRPr="007F49DC">
        <w:rPr>
          <w:rFonts w:ascii="Garamond" w:hAnsi="Garamond"/>
          <w:sz w:val="18"/>
          <w:szCs w:val="18"/>
        </w:rPr>
        <w:t>,</w:t>
      </w:r>
      <w:r w:rsidR="007F49DC" w:rsidRPr="007F49DC">
        <w:rPr>
          <w:rFonts w:ascii="Garamond" w:hAnsi="Garamond"/>
          <w:sz w:val="18"/>
          <w:szCs w:val="18"/>
        </w:rPr>
        <w:t xml:space="preserve"> </w:t>
      </w:r>
      <w:r w:rsidR="007F49DC" w:rsidRPr="007F49DC">
        <w:rPr>
          <w:rFonts w:ascii="Garamond" w:hAnsi="Garamond"/>
          <w:sz w:val="18"/>
          <w:szCs w:val="18"/>
        </w:rPr>
        <w:t>and it was not</w:t>
      </w:r>
      <w:r w:rsidR="007F49DC" w:rsidRPr="007F49DC">
        <w:rPr>
          <w:rFonts w:ascii="Garamond" w:hAnsi="Garamond"/>
          <w:sz w:val="18"/>
          <w:szCs w:val="18"/>
        </w:rPr>
        <w:t xml:space="preserve"> </w:t>
      </w:r>
      <w:r w:rsidR="007F49DC" w:rsidRPr="007F49DC">
        <w:rPr>
          <w:rFonts w:ascii="Garamond" w:hAnsi="Garamond"/>
          <w:sz w:val="18"/>
          <w:szCs w:val="18"/>
        </w:rPr>
        <w:t>abolition but the refusal to abolish which had done it</w:t>
      </w:r>
      <w:r w:rsidR="007F49DC" w:rsidRPr="007F49DC">
        <w:rPr>
          <w:rFonts w:ascii="Garamond" w:hAnsi="Garamond"/>
          <w:sz w:val="18"/>
          <w:szCs w:val="18"/>
        </w:rPr>
        <w:t xml:space="preserve">,” and so the </w:t>
      </w:r>
      <w:r w:rsidR="008F3804" w:rsidRPr="007F49DC">
        <w:rPr>
          <w:rFonts w:ascii="Garamond" w:hAnsi="Garamond"/>
          <w:sz w:val="18"/>
          <w:szCs w:val="18"/>
        </w:rPr>
        <w:t>“</w:t>
      </w:r>
      <w:r w:rsidR="008F3804" w:rsidRPr="007F49DC">
        <w:rPr>
          <w:rFonts w:ascii="Garamond" w:hAnsi="Garamond"/>
          <w:sz w:val="18"/>
          <w:szCs w:val="18"/>
        </w:rPr>
        <w:t>generous spontaneity of the Convention</w:t>
      </w:r>
      <w:r w:rsidR="008F3804" w:rsidRPr="007F49DC">
        <w:rPr>
          <w:rFonts w:ascii="Garamond" w:hAnsi="Garamond"/>
          <w:sz w:val="18"/>
          <w:szCs w:val="18"/>
        </w:rPr>
        <w:t xml:space="preserve"> … </w:t>
      </w:r>
      <w:r w:rsidR="008F3804" w:rsidRPr="007F49DC">
        <w:rPr>
          <w:rFonts w:ascii="Garamond" w:hAnsi="Garamond"/>
          <w:sz w:val="18"/>
          <w:szCs w:val="18"/>
        </w:rPr>
        <w:t>was at the same time the soundest political</w:t>
      </w:r>
      <w:r w:rsidR="008F3804" w:rsidRPr="007F49DC">
        <w:rPr>
          <w:rFonts w:ascii="Garamond" w:hAnsi="Garamond"/>
          <w:sz w:val="18"/>
          <w:szCs w:val="18"/>
        </w:rPr>
        <w:t xml:space="preserve"> </w:t>
      </w:r>
      <w:r w:rsidR="008F3804" w:rsidRPr="007F49DC">
        <w:rPr>
          <w:rFonts w:ascii="Garamond" w:hAnsi="Garamond"/>
          <w:sz w:val="18"/>
          <w:szCs w:val="18"/>
        </w:rPr>
        <w:t>policy.</w:t>
      </w:r>
      <w:r w:rsidR="008F3804" w:rsidRPr="007F49DC">
        <w:rPr>
          <w:rFonts w:ascii="Garamond" w:hAnsi="Garamond"/>
          <w:sz w:val="18"/>
          <w:szCs w:val="18"/>
        </w:rPr>
        <w:t xml:space="preserve">” James, </w:t>
      </w:r>
      <w:r w:rsidR="008F3804" w:rsidRPr="007F49DC">
        <w:rPr>
          <w:rFonts w:ascii="Garamond" w:hAnsi="Garamond"/>
          <w:i/>
          <w:iCs/>
          <w:sz w:val="18"/>
          <w:szCs w:val="18"/>
        </w:rPr>
        <w:t>Black Jacobins</w:t>
      </w:r>
      <w:r w:rsidR="008F3804" w:rsidRPr="00765407">
        <w:rPr>
          <w:rFonts w:ascii="Garamond" w:hAnsi="Garamond"/>
          <w:sz w:val="18"/>
          <w:szCs w:val="18"/>
        </w:rPr>
        <w:t>, 143-4.</w:t>
      </w:r>
    </w:p>
  </w:footnote>
  <w:footnote w:id="68">
    <w:p w14:paraId="36C39454" w14:textId="77777777" w:rsidR="007F49DC" w:rsidRPr="00765407" w:rsidRDefault="007F49DC" w:rsidP="007F49DC">
      <w:pPr>
        <w:pStyle w:val="FootnoteText"/>
        <w:rPr>
          <w:rFonts w:ascii="Garamond" w:hAnsi="Garamond"/>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Fanon, </w:t>
      </w:r>
      <w:r w:rsidRPr="00765407">
        <w:rPr>
          <w:rFonts w:ascii="Garamond" w:hAnsi="Garamond"/>
          <w:i/>
          <w:iCs/>
          <w:sz w:val="18"/>
          <w:szCs w:val="18"/>
        </w:rPr>
        <w:t xml:space="preserve">Black Skin, White Masks </w:t>
      </w:r>
      <w:r w:rsidRPr="00765407">
        <w:rPr>
          <w:rFonts w:ascii="Garamond" w:hAnsi="Garamond"/>
          <w:sz w:val="18"/>
          <w:szCs w:val="18"/>
        </w:rPr>
        <w:t xml:space="preserve">(New York, 2008), 91-93. </w:t>
      </w:r>
    </w:p>
  </w:footnote>
  <w:footnote w:id="69">
    <w:p w14:paraId="300B9FE4" w14:textId="77777777" w:rsidR="003B1EB1" w:rsidRPr="00765407" w:rsidRDefault="003B1EB1" w:rsidP="003B1EB1">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r w:rsidRPr="00765407">
        <w:rPr>
          <w:rFonts w:ascii="Garamond" w:hAnsi="Garamond"/>
          <w:sz w:val="18"/>
          <w:szCs w:val="18"/>
          <w:lang w:val="en-US"/>
        </w:rPr>
        <w:t xml:space="preserve">Sean Quinlan, “Colonial Encounters: Colonial Bodies, Hygiene and Abolitionist Politics in Eighteenth-Century France,” </w:t>
      </w:r>
      <w:r w:rsidRPr="00765407">
        <w:rPr>
          <w:rFonts w:ascii="Garamond" w:hAnsi="Garamond"/>
          <w:i/>
          <w:iCs/>
          <w:sz w:val="18"/>
          <w:szCs w:val="18"/>
          <w:lang w:val="en-US"/>
        </w:rPr>
        <w:t xml:space="preserve">History Workshop Journal </w:t>
      </w:r>
      <w:r w:rsidRPr="00765407">
        <w:rPr>
          <w:rFonts w:ascii="Garamond" w:hAnsi="Garamond"/>
          <w:sz w:val="18"/>
          <w:szCs w:val="18"/>
          <w:lang w:val="en-US"/>
        </w:rPr>
        <w:t xml:space="preserve">42 (1996): 107-125. </w:t>
      </w:r>
    </w:p>
  </w:footnote>
  <w:footnote w:id="70">
    <w:p w14:paraId="253FF310" w14:textId="0166F39B" w:rsidR="003D08A2" w:rsidRPr="00765407" w:rsidRDefault="003D08A2" w:rsidP="003D08A2">
      <w:pPr>
        <w:autoSpaceDE w:val="0"/>
        <w:autoSpaceDN w:val="0"/>
        <w:adjustRightInd w:val="0"/>
        <w:rPr>
          <w:rFonts w:ascii="Garamond" w:hAnsi="Garamond" w:cs="Times New Roman"/>
          <w:sz w:val="18"/>
          <w:szCs w:val="18"/>
          <w:lang w:val="en-GB"/>
        </w:rPr>
      </w:pPr>
      <w:r w:rsidRPr="00765407">
        <w:rPr>
          <w:rStyle w:val="FootnoteReference"/>
          <w:rFonts w:ascii="Garamond" w:hAnsi="Garamond"/>
          <w:sz w:val="18"/>
          <w:szCs w:val="18"/>
        </w:rPr>
        <w:footnoteRef/>
      </w:r>
      <w:r w:rsidRPr="00765407">
        <w:rPr>
          <w:rFonts w:ascii="Garamond" w:hAnsi="Garamond"/>
          <w:sz w:val="18"/>
          <w:szCs w:val="18"/>
        </w:rPr>
        <w:t xml:space="preserve"> </w:t>
      </w:r>
      <w:r w:rsidRPr="00765407">
        <w:rPr>
          <w:rFonts w:ascii="Garamond" w:hAnsi="Garamond" w:cs="Times New Roman"/>
          <w:sz w:val="18"/>
          <w:szCs w:val="18"/>
          <w:lang w:val="en-GB"/>
        </w:rPr>
        <w:t>George Yancy</w:t>
      </w:r>
      <w:r w:rsidRPr="00765407">
        <w:rPr>
          <w:rFonts w:ascii="Garamond" w:hAnsi="Garamond" w:cs="Times New Roman"/>
          <w:sz w:val="18"/>
          <w:szCs w:val="18"/>
          <w:lang w:val="en-GB"/>
        </w:rPr>
        <w:t>, “</w:t>
      </w:r>
      <w:r w:rsidRPr="00765407">
        <w:rPr>
          <w:rFonts w:ascii="Garamond" w:hAnsi="Garamond" w:cs="Times New Roman"/>
          <w:sz w:val="18"/>
          <w:szCs w:val="18"/>
          <w:lang w:val="en-GB"/>
        </w:rPr>
        <w:t>White Embodied Gazing, the Black</w:t>
      </w:r>
      <w:r w:rsidRPr="00765407">
        <w:rPr>
          <w:rFonts w:ascii="Garamond" w:hAnsi="Garamond" w:cs="Times New Roman"/>
          <w:sz w:val="18"/>
          <w:szCs w:val="18"/>
          <w:lang w:val="en-GB"/>
        </w:rPr>
        <w:t xml:space="preserve"> </w:t>
      </w:r>
      <w:r w:rsidRPr="00765407">
        <w:rPr>
          <w:rFonts w:ascii="Garamond" w:hAnsi="Garamond" w:cs="Times New Roman"/>
          <w:sz w:val="18"/>
          <w:szCs w:val="18"/>
          <w:lang w:val="en-GB"/>
        </w:rPr>
        <w:t>Body as Disgust, and the Aesthetics</w:t>
      </w:r>
      <w:r w:rsidRPr="00765407">
        <w:rPr>
          <w:rFonts w:ascii="Garamond" w:hAnsi="Garamond" w:cs="Times New Roman"/>
          <w:sz w:val="18"/>
          <w:szCs w:val="18"/>
          <w:lang w:val="en-GB"/>
        </w:rPr>
        <w:t xml:space="preserve"> </w:t>
      </w:r>
      <w:r w:rsidRPr="00765407">
        <w:rPr>
          <w:rFonts w:ascii="Garamond" w:hAnsi="Garamond" w:cs="Times New Roman"/>
          <w:sz w:val="18"/>
          <w:szCs w:val="18"/>
          <w:lang w:val="en-GB"/>
        </w:rPr>
        <w:t>of Un-Suturing</w:t>
      </w:r>
      <w:r w:rsidRPr="00765407">
        <w:rPr>
          <w:rFonts w:ascii="Garamond" w:hAnsi="Garamond" w:cs="Times New Roman"/>
          <w:sz w:val="18"/>
          <w:szCs w:val="18"/>
          <w:lang w:val="en-GB"/>
        </w:rPr>
        <w:t xml:space="preserve">” in </w:t>
      </w:r>
      <w:r w:rsidRPr="00765407">
        <w:rPr>
          <w:rFonts w:ascii="Garamond" w:hAnsi="Garamond" w:cs="Times New Roman"/>
          <w:sz w:val="18"/>
          <w:szCs w:val="18"/>
          <w:lang w:val="en-GB"/>
        </w:rPr>
        <w:t>Body Aesthetics</w:t>
      </w:r>
      <w:r w:rsidRPr="00765407">
        <w:rPr>
          <w:rFonts w:ascii="Garamond" w:hAnsi="Garamond" w:cs="Times New Roman"/>
          <w:sz w:val="18"/>
          <w:szCs w:val="18"/>
          <w:lang w:val="en-GB"/>
        </w:rPr>
        <w:t xml:space="preserve">, (ed.) </w:t>
      </w:r>
      <w:r w:rsidRPr="00765407">
        <w:rPr>
          <w:rFonts w:ascii="Garamond" w:hAnsi="Garamond" w:cs="Times New Roman"/>
          <w:sz w:val="18"/>
          <w:szCs w:val="18"/>
          <w:lang w:val="en-GB"/>
        </w:rPr>
        <w:t>Sherri Irvin</w:t>
      </w:r>
      <w:r w:rsidRPr="00765407">
        <w:rPr>
          <w:rFonts w:ascii="Garamond" w:hAnsi="Garamond" w:cs="Times New Roman"/>
          <w:sz w:val="18"/>
          <w:szCs w:val="18"/>
          <w:lang w:val="en-GB"/>
        </w:rPr>
        <w:t xml:space="preserve"> (University of Oxford, 2016), 244-261, quote is </w:t>
      </w:r>
      <w:proofErr w:type="gramStart"/>
      <w:r w:rsidRPr="00765407">
        <w:rPr>
          <w:rFonts w:ascii="Garamond" w:hAnsi="Garamond" w:cs="Times New Roman"/>
          <w:sz w:val="18"/>
          <w:szCs w:val="18"/>
          <w:lang w:val="en-GB"/>
        </w:rPr>
        <w:t>form</w:t>
      </w:r>
      <w:proofErr w:type="gramEnd"/>
      <w:r w:rsidRPr="00765407">
        <w:rPr>
          <w:rFonts w:ascii="Garamond" w:hAnsi="Garamond" w:cs="Times New Roman"/>
          <w:sz w:val="18"/>
          <w:szCs w:val="18"/>
          <w:lang w:val="en-GB"/>
        </w:rPr>
        <w:t xml:space="preserve"> pg. 248.</w:t>
      </w:r>
    </w:p>
  </w:footnote>
  <w:footnote w:id="71">
    <w:p w14:paraId="7D4427D8" w14:textId="77777777" w:rsidR="003D08A2" w:rsidRPr="00765407" w:rsidRDefault="003D08A2">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w:t>
      </w:r>
      <w:r w:rsidRPr="00765407">
        <w:rPr>
          <w:rFonts w:ascii="Garamond" w:hAnsi="Garamond"/>
          <w:sz w:val="18"/>
          <w:szCs w:val="18"/>
          <w:lang w:val="en-GB"/>
        </w:rPr>
        <w:t>Yancy, “White Embodied Gazing</w:t>
      </w:r>
      <w:r w:rsidRPr="00765407">
        <w:rPr>
          <w:rFonts w:ascii="Garamond" w:hAnsi="Garamond"/>
          <w:sz w:val="18"/>
          <w:szCs w:val="18"/>
          <w:lang w:val="en-GB"/>
        </w:rPr>
        <w:t xml:space="preserve">,” 256. </w:t>
      </w:r>
    </w:p>
  </w:footnote>
  <w:footnote w:id="72">
    <w:p w14:paraId="789337DF" w14:textId="0F07F678" w:rsidR="00341F45" w:rsidRPr="00765407" w:rsidRDefault="00341F45" w:rsidP="004D2225">
      <w:pPr>
        <w:rPr>
          <w:rFonts w:ascii="Garamond" w:eastAsia="Times New Roman" w:hAnsi="Garamond" w:cs="Times New Roman"/>
          <w:sz w:val="18"/>
          <w:szCs w:val="18"/>
        </w:rPr>
      </w:pPr>
      <w:r w:rsidRPr="00765407">
        <w:rPr>
          <w:rStyle w:val="FootnoteReference"/>
          <w:rFonts w:ascii="Garamond" w:hAnsi="Garamond"/>
          <w:sz w:val="18"/>
          <w:szCs w:val="18"/>
        </w:rPr>
        <w:footnoteRef/>
      </w:r>
      <w:r w:rsidRPr="00765407">
        <w:rPr>
          <w:rFonts w:ascii="Garamond" w:hAnsi="Garamond"/>
          <w:sz w:val="18"/>
          <w:szCs w:val="18"/>
        </w:rPr>
        <w:t xml:space="preserve"> </w:t>
      </w:r>
      <w:r w:rsidRPr="004D3B76">
        <w:rPr>
          <w:rFonts w:ascii="Garamond" w:eastAsia="Times New Roman" w:hAnsi="Garamond" w:cs="Times New Roman"/>
          <w:sz w:val="18"/>
          <w:szCs w:val="18"/>
        </w:rPr>
        <w:t>Mark M. Smith</w:t>
      </w:r>
      <w:r w:rsidRPr="00765407">
        <w:rPr>
          <w:rFonts w:ascii="Garamond" w:eastAsia="Times New Roman" w:hAnsi="Garamond" w:cs="Times New Roman"/>
          <w:sz w:val="18"/>
          <w:szCs w:val="18"/>
        </w:rPr>
        <w:t>, “</w:t>
      </w:r>
      <w:r w:rsidRPr="004D3B76">
        <w:rPr>
          <w:rFonts w:ascii="Garamond" w:eastAsia="Times New Roman" w:hAnsi="Garamond" w:cs="Times New Roman"/>
          <w:sz w:val="18"/>
          <w:szCs w:val="18"/>
        </w:rPr>
        <w:t>Getting in Touch with Slavery and Freedom</w:t>
      </w:r>
      <w:r w:rsidRPr="00765407">
        <w:rPr>
          <w:rFonts w:ascii="Garamond" w:eastAsia="Times New Roman" w:hAnsi="Garamond" w:cs="Times New Roman"/>
          <w:sz w:val="18"/>
          <w:szCs w:val="18"/>
        </w:rPr>
        <w:t xml:space="preserve">,” </w:t>
      </w:r>
      <w:r w:rsidRPr="004D3B76">
        <w:rPr>
          <w:rFonts w:ascii="Garamond" w:eastAsia="Times New Roman" w:hAnsi="Garamond" w:cs="Times New Roman"/>
          <w:i/>
          <w:iCs/>
          <w:sz w:val="18"/>
          <w:szCs w:val="18"/>
        </w:rPr>
        <w:t>The Journal of American History</w:t>
      </w:r>
      <w:r w:rsidRPr="004D3B76">
        <w:rPr>
          <w:rFonts w:ascii="Garamond" w:eastAsia="Times New Roman" w:hAnsi="Garamond" w:cs="Times New Roman"/>
          <w:sz w:val="18"/>
          <w:szCs w:val="18"/>
        </w:rPr>
        <w:t>, 95, 2 (2008)</w:t>
      </w:r>
      <w:r w:rsidRPr="00765407">
        <w:rPr>
          <w:rFonts w:ascii="Garamond" w:eastAsia="Times New Roman" w:hAnsi="Garamond" w:cs="Times New Roman"/>
          <w:sz w:val="18"/>
          <w:szCs w:val="18"/>
        </w:rPr>
        <w:t xml:space="preserve">: </w:t>
      </w:r>
      <w:r w:rsidRPr="004D3B76">
        <w:rPr>
          <w:rFonts w:ascii="Garamond" w:eastAsia="Times New Roman" w:hAnsi="Garamond" w:cs="Times New Roman"/>
          <w:sz w:val="18"/>
          <w:szCs w:val="18"/>
        </w:rPr>
        <w:t>381-39</w:t>
      </w:r>
      <w:r w:rsidRPr="00765407">
        <w:rPr>
          <w:rFonts w:ascii="Garamond" w:eastAsia="Times New Roman" w:hAnsi="Garamond" w:cs="Times New Roman"/>
          <w:sz w:val="18"/>
          <w:szCs w:val="18"/>
        </w:rPr>
        <w:t>1.</w:t>
      </w:r>
    </w:p>
  </w:footnote>
  <w:footnote w:id="73">
    <w:p w14:paraId="3CF5F12C" w14:textId="7E636829" w:rsidR="00E63D5A" w:rsidRPr="00E63D5A" w:rsidRDefault="009B6452" w:rsidP="00E63D5A">
      <w:pPr>
        <w:pStyle w:val="FootnoteText"/>
        <w:rPr>
          <w:rFonts w:ascii="Garamond" w:hAnsi="Garamond"/>
          <w:sz w:val="18"/>
          <w:szCs w:val="18"/>
          <w:lang w:val="fr-CA"/>
        </w:rPr>
      </w:pPr>
      <w:r w:rsidRPr="00765407">
        <w:rPr>
          <w:rStyle w:val="FootnoteReference"/>
          <w:rFonts w:ascii="Garamond" w:hAnsi="Garamond"/>
          <w:sz w:val="18"/>
          <w:szCs w:val="18"/>
        </w:rPr>
        <w:footnoteRef/>
      </w:r>
      <w:r w:rsidRPr="00E63D5A">
        <w:rPr>
          <w:rFonts w:ascii="Garamond" w:hAnsi="Garamond"/>
          <w:sz w:val="18"/>
          <w:szCs w:val="18"/>
          <w:lang w:val="fr-CA"/>
        </w:rPr>
        <w:t xml:space="preserve"> </w:t>
      </w:r>
      <w:r w:rsidR="00E63D5A" w:rsidRPr="00E63D5A">
        <w:rPr>
          <w:rFonts w:ascii="Garamond" w:hAnsi="Garamond"/>
          <w:sz w:val="18"/>
          <w:szCs w:val="18"/>
          <w:lang w:val="fr-CA"/>
        </w:rPr>
        <w:t xml:space="preserve">Caroline </w:t>
      </w:r>
      <w:proofErr w:type="spellStart"/>
      <w:r w:rsidR="00E63D5A" w:rsidRPr="00E63D5A">
        <w:rPr>
          <w:rFonts w:ascii="Garamond" w:hAnsi="Garamond"/>
          <w:sz w:val="18"/>
          <w:szCs w:val="18"/>
          <w:lang w:val="fr-CA"/>
        </w:rPr>
        <w:t>Crouin</w:t>
      </w:r>
      <w:proofErr w:type="spellEnd"/>
      <w:r w:rsidR="00E63D5A" w:rsidRPr="00E63D5A">
        <w:rPr>
          <w:rFonts w:ascii="Garamond" w:hAnsi="Garamond"/>
          <w:sz w:val="18"/>
          <w:szCs w:val="18"/>
          <w:lang w:val="fr-CA"/>
        </w:rPr>
        <w:t>, “</w:t>
      </w:r>
      <w:r w:rsidR="00E63D5A" w:rsidRPr="00E63D5A">
        <w:rPr>
          <w:rFonts w:ascii="Garamond" w:hAnsi="Garamond"/>
          <w:sz w:val="18"/>
          <w:szCs w:val="18"/>
          <w:lang w:val="fr-CA"/>
        </w:rPr>
        <w:t>Étude scénographique des fêtes en faveur de</w:t>
      </w:r>
      <w:r w:rsidR="00E63D5A" w:rsidRPr="00E63D5A">
        <w:rPr>
          <w:rFonts w:ascii="Garamond" w:hAnsi="Garamond"/>
          <w:sz w:val="18"/>
          <w:szCs w:val="18"/>
          <w:lang w:val="fr-CA"/>
        </w:rPr>
        <w:t xml:space="preserve"> </w:t>
      </w:r>
      <w:r w:rsidR="00E63D5A" w:rsidRPr="00E63D5A">
        <w:rPr>
          <w:rFonts w:ascii="Garamond" w:hAnsi="Garamond"/>
          <w:sz w:val="18"/>
          <w:szCs w:val="18"/>
          <w:lang w:val="fr-CA"/>
        </w:rPr>
        <w:t>l’abolition de l’esclavage en France (février - juillet</w:t>
      </w:r>
    </w:p>
    <w:p w14:paraId="711B750E" w14:textId="752F2927" w:rsidR="009B6452" w:rsidRPr="00E63D5A" w:rsidRDefault="00E63D5A" w:rsidP="00E63D5A">
      <w:pPr>
        <w:pStyle w:val="FootnoteText"/>
        <w:rPr>
          <w:rFonts w:ascii="Garamond" w:hAnsi="Garamond"/>
          <w:sz w:val="18"/>
          <w:szCs w:val="18"/>
          <w:lang w:val="fr-CA"/>
        </w:rPr>
      </w:pPr>
      <w:r w:rsidRPr="00E63D5A">
        <w:rPr>
          <w:rFonts w:ascii="Garamond" w:hAnsi="Garamond"/>
          <w:sz w:val="18"/>
          <w:szCs w:val="18"/>
          <w:lang w:val="fr-CA"/>
        </w:rPr>
        <w:t>1794)</w:t>
      </w:r>
      <w:r w:rsidRPr="00E63D5A">
        <w:rPr>
          <w:rFonts w:ascii="Garamond" w:hAnsi="Garamond"/>
          <w:sz w:val="18"/>
          <w:szCs w:val="18"/>
          <w:lang w:val="fr-CA"/>
        </w:rPr>
        <w:t xml:space="preserve">, </w:t>
      </w:r>
      <w:r w:rsidRPr="00E63D5A">
        <w:rPr>
          <w:rFonts w:ascii="Garamond" w:hAnsi="Garamond"/>
          <w:i/>
          <w:iCs/>
          <w:sz w:val="18"/>
          <w:szCs w:val="18"/>
          <w:lang w:val="fr-CA"/>
        </w:rPr>
        <w:t>Annales historiques de la Révolution</w:t>
      </w:r>
      <w:r w:rsidRPr="00E63D5A">
        <w:rPr>
          <w:rFonts w:ascii="Garamond" w:hAnsi="Garamond"/>
          <w:i/>
          <w:iCs/>
          <w:sz w:val="18"/>
          <w:szCs w:val="18"/>
          <w:lang w:val="fr-CA"/>
        </w:rPr>
        <w:t xml:space="preserve"> </w:t>
      </w:r>
      <w:r w:rsidRPr="00E63D5A">
        <w:rPr>
          <w:rFonts w:ascii="Garamond" w:hAnsi="Garamond"/>
          <w:i/>
          <w:iCs/>
          <w:sz w:val="18"/>
          <w:szCs w:val="18"/>
          <w:lang w:val="fr-CA"/>
        </w:rPr>
        <w:t>française</w:t>
      </w:r>
      <w:r>
        <w:rPr>
          <w:rFonts w:ascii="Garamond" w:hAnsi="Garamond"/>
          <w:i/>
          <w:iCs/>
          <w:sz w:val="18"/>
          <w:szCs w:val="18"/>
          <w:lang w:val="fr-CA"/>
        </w:rPr>
        <w:t xml:space="preserve"> </w:t>
      </w:r>
      <w:r>
        <w:rPr>
          <w:rFonts w:ascii="Garamond" w:hAnsi="Garamond"/>
          <w:sz w:val="18"/>
          <w:szCs w:val="18"/>
          <w:lang w:val="fr-CA"/>
        </w:rPr>
        <w:t xml:space="preserve">339, (2005) : 55-77. </w:t>
      </w:r>
    </w:p>
  </w:footnote>
  <w:footnote w:id="74">
    <w:p w14:paraId="206977FA" w14:textId="77777777" w:rsidR="004D2225" w:rsidRPr="00765407" w:rsidRDefault="004D2225" w:rsidP="004D2225">
      <w:pPr>
        <w:pStyle w:val="FootnoteText"/>
        <w:rPr>
          <w:rFonts w:ascii="Garamond" w:hAnsi="Garamond"/>
          <w:sz w:val="18"/>
          <w:szCs w:val="18"/>
          <w:lang w:val="en-US"/>
        </w:rPr>
      </w:pPr>
      <w:r w:rsidRPr="00765407">
        <w:rPr>
          <w:rStyle w:val="FootnoteReference"/>
          <w:rFonts w:ascii="Garamond" w:hAnsi="Garamond"/>
          <w:sz w:val="18"/>
          <w:szCs w:val="18"/>
        </w:rPr>
        <w:footnoteRef/>
      </w:r>
      <w:r w:rsidRPr="00765407">
        <w:rPr>
          <w:rFonts w:ascii="Garamond" w:hAnsi="Garamond"/>
          <w:sz w:val="18"/>
          <w:szCs w:val="18"/>
        </w:rPr>
        <w:t xml:space="preserve"> It would take a further 46 years before France definitively abolished slavery.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F37A" w14:textId="77777777" w:rsidR="008179C3" w:rsidRPr="008179C3" w:rsidRDefault="00000000" w:rsidP="008179C3">
    <w:pPr>
      <w:pStyle w:val="Header"/>
      <w:rPr>
        <w:rFonts w:ascii="Garamond" w:hAnsi="Garamond"/>
        <w:sz w:val="20"/>
        <w:szCs w:val="20"/>
        <w:lang w:val="en-US"/>
      </w:rPr>
    </w:pPr>
    <w:r w:rsidRPr="008179C3">
      <w:rPr>
        <w:rFonts w:ascii="Garamond" w:hAnsi="Garamond"/>
        <w:sz w:val="20"/>
        <w:szCs w:val="20"/>
        <w:lang w:val="en-US"/>
      </w:rPr>
      <w:t xml:space="preserve">What is Intellectual in Intellectual </w:t>
    </w:r>
    <w:proofErr w:type="gramStart"/>
    <w:r w:rsidRPr="008179C3">
      <w:rPr>
        <w:rFonts w:ascii="Garamond" w:hAnsi="Garamond"/>
        <w:sz w:val="20"/>
        <w:szCs w:val="20"/>
        <w:lang w:val="en-US"/>
      </w:rPr>
      <w:t>History?:</w:t>
    </w:r>
    <w:proofErr w:type="gramEnd"/>
    <w:r w:rsidRPr="008179C3">
      <w:rPr>
        <w:rFonts w:ascii="Garamond" w:hAnsi="Garamond"/>
        <w:sz w:val="20"/>
        <w:szCs w:val="20"/>
        <w:lang w:val="en-US"/>
      </w:rPr>
      <w:t xml:space="preserve"> </w:t>
    </w:r>
    <w:r w:rsidRPr="008179C3">
      <w:rPr>
        <w:rFonts w:ascii="Garamond" w:hAnsi="Garamond"/>
        <w:sz w:val="20"/>
        <w:szCs w:val="20"/>
        <w:lang w:val="en-US"/>
      </w:rPr>
      <w:tab/>
    </w:r>
    <w:r w:rsidRPr="008179C3">
      <w:rPr>
        <w:rFonts w:ascii="Garamond" w:hAnsi="Garamond"/>
        <w:sz w:val="20"/>
        <w:szCs w:val="20"/>
        <w:lang w:val="en-US"/>
      </w:rPr>
      <w:tab/>
    </w:r>
    <w:proofErr w:type="spellStart"/>
    <w:r w:rsidRPr="008179C3">
      <w:rPr>
        <w:rFonts w:ascii="Garamond" w:hAnsi="Garamond"/>
        <w:sz w:val="20"/>
        <w:szCs w:val="20"/>
        <w:lang w:val="en-US"/>
      </w:rPr>
      <w:t>Aylon</w:t>
    </w:r>
    <w:proofErr w:type="spellEnd"/>
    <w:r w:rsidRPr="008179C3">
      <w:rPr>
        <w:rFonts w:ascii="Garamond" w:hAnsi="Garamond"/>
        <w:sz w:val="20"/>
        <w:szCs w:val="20"/>
        <w:lang w:val="en-US"/>
      </w:rPr>
      <w:t xml:space="preserve"> Cohen</w:t>
    </w:r>
  </w:p>
  <w:p w14:paraId="4671893B" w14:textId="77777777" w:rsidR="008179C3" w:rsidRPr="008179C3" w:rsidRDefault="00000000" w:rsidP="008179C3">
    <w:pPr>
      <w:pStyle w:val="Header"/>
      <w:rPr>
        <w:rFonts w:ascii="Garamond" w:hAnsi="Garamond"/>
        <w:sz w:val="20"/>
        <w:szCs w:val="20"/>
        <w:lang w:val="en-US"/>
      </w:rPr>
    </w:pPr>
    <w:r w:rsidRPr="008179C3">
      <w:rPr>
        <w:rFonts w:ascii="Garamond" w:hAnsi="Garamond"/>
        <w:sz w:val="20"/>
        <w:szCs w:val="20"/>
        <w:lang w:val="en-US"/>
      </w:rPr>
      <w:t xml:space="preserve">On Discourse and the Body in the Study of Democracy </w:t>
    </w:r>
    <w:r w:rsidRPr="008179C3">
      <w:rPr>
        <w:rFonts w:ascii="Garamond" w:hAnsi="Garamond"/>
        <w:sz w:val="20"/>
        <w:szCs w:val="20"/>
        <w:lang w:val="en-US"/>
      </w:rPr>
      <w:tab/>
    </w:r>
    <w:r w:rsidRPr="008179C3">
      <w:rPr>
        <w:rFonts w:ascii="Garamond" w:hAnsi="Garamond"/>
        <w:sz w:val="20"/>
        <w:szCs w:val="20"/>
        <w:lang w:val="en-US"/>
      </w:rPr>
      <w:tab/>
      <w:t>*draft copy*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A06C7"/>
    <w:multiLevelType w:val="hybridMultilevel"/>
    <w:tmpl w:val="5C4A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C10207"/>
    <w:multiLevelType w:val="hybridMultilevel"/>
    <w:tmpl w:val="1B98EE6C"/>
    <w:lvl w:ilvl="0" w:tplc="BD4202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56B0301"/>
    <w:multiLevelType w:val="hybridMultilevel"/>
    <w:tmpl w:val="39C81B92"/>
    <w:lvl w:ilvl="0" w:tplc="0DC6EB0E">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A39278C"/>
    <w:multiLevelType w:val="hybridMultilevel"/>
    <w:tmpl w:val="4D0E703A"/>
    <w:lvl w:ilvl="0" w:tplc="455C30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69C633F"/>
    <w:multiLevelType w:val="hybridMultilevel"/>
    <w:tmpl w:val="058C4528"/>
    <w:lvl w:ilvl="0" w:tplc="144057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7B92F33"/>
    <w:multiLevelType w:val="hybridMultilevel"/>
    <w:tmpl w:val="AEB6F606"/>
    <w:lvl w:ilvl="0" w:tplc="CF546E9C">
      <w:start w:val="1"/>
      <w:numFmt w:val="upp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B092058"/>
    <w:multiLevelType w:val="hybridMultilevel"/>
    <w:tmpl w:val="6DA2777E"/>
    <w:lvl w:ilvl="0" w:tplc="330A8B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CB30448"/>
    <w:multiLevelType w:val="hybridMultilevel"/>
    <w:tmpl w:val="D0E44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588625">
    <w:abstractNumId w:val="7"/>
  </w:num>
  <w:num w:numId="2" w16cid:durableId="1452548329">
    <w:abstractNumId w:val="0"/>
  </w:num>
  <w:num w:numId="3" w16cid:durableId="1262952524">
    <w:abstractNumId w:val="1"/>
  </w:num>
  <w:num w:numId="4" w16cid:durableId="1165511830">
    <w:abstractNumId w:val="6"/>
  </w:num>
  <w:num w:numId="5" w16cid:durableId="1273511310">
    <w:abstractNumId w:val="4"/>
  </w:num>
  <w:num w:numId="6" w16cid:durableId="655836846">
    <w:abstractNumId w:val="2"/>
  </w:num>
  <w:num w:numId="7" w16cid:durableId="908853845">
    <w:abstractNumId w:val="3"/>
  </w:num>
  <w:num w:numId="8" w16cid:durableId="6602360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20A"/>
    <w:rsid w:val="00001AFF"/>
    <w:rsid w:val="000303A0"/>
    <w:rsid w:val="000329DB"/>
    <w:rsid w:val="0004174B"/>
    <w:rsid w:val="00057494"/>
    <w:rsid w:val="00061A00"/>
    <w:rsid w:val="00083535"/>
    <w:rsid w:val="000956DA"/>
    <w:rsid w:val="000A632B"/>
    <w:rsid w:val="000B0757"/>
    <w:rsid w:val="000D4C41"/>
    <w:rsid w:val="000E1686"/>
    <w:rsid w:val="000F24B7"/>
    <w:rsid w:val="000F2583"/>
    <w:rsid w:val="000F2967"/>
    <w:rsid w:val="00106340"/>
    <w:rsid w:val="001141F2"/>
    <w:rsid w:val="001207F7"/>
    <w:rsid w:val="00122630"/>
    <w:rsid w:val="00127B9B"/>
    <w:rsid w:val="00132491"/>
    <w:rsid w:val="00134CFD"/>
    <w:rsid w:val="00137F40"/>
    <w:rsid w:val="001548BC"/>
    <w:rsid w:val="00172437"/>
    <w:rsid w:val="00195179"/>
    <w:rsid w:val="001A4FF2"/>
    <w:rsid w:val="001E4860"/>
    <w:rsid w:val="002152E0"/>
    <w:rsid w:val="002217F3"/>
    <w:rsid w:val="00250010"/>
    <w:rsid w:val="00256494"/>
    <w:rsid w:val="002633DD"/>
    <w:rsid w:val="002A52AE"/>
    <w:rsid w:val="002B66A7"/>
    <w:rsid w:val="002D52B7"/>
    <w:rsid w:val="002E2B36"/>
    <w:rsid w:val="00320F04"/>
    <w:rsid w:val="00321555"/>
    <w:rsid w:val="00324886"/>
    <w:rsid w:val="00325397"/>
    <w:rsid w:val="003313D9"/>
    <w:rsid w:val="00341F45"/>
    <w:rsid w:val="00367F0E"/>
    <w:rsid w:val="00372057"/>
    <w:rsid w:val="003725A0"/>
    <w:rsid w:val="00374C91"/>
    <w:rsid w:val="00377E00"/>
    <w:rsid w:val="0038727C"/>
    <w:rsid w:val="003A0DC8"/>
    <w:rsid w:val="003A4DA9"/>
    <w:rsid w:val="003B1EB1"/>
    <w:rsid w:val="003C46DD"/>
    <w:rsid w:val="003D08A2"/>
    <w:rsid w:val="003E27C4"/>
    <w:rsid w:val="00410FDC"/>
    <w:rsid w:val="004121C6"/>
    <w:rsid w:val="004154CB"/>
    <w:rsid w:val="004256AC"/>
    <w:rsid w:val="00431426"/>
    <w:rsid w:val="00465FBF"/>
    <w:rsid w:val="00470ABF"/>
    <w:rsid w:val="004867E2"/>
    <w:rsid w:val="00490C1B"/>
    <w:rsid w:val="00492ABE"/>
    <w:rsid w:val="00494EED"/>
    <w:rsid w:val="004A034D"/>
    <w:rsid w:val="004D2225"/>
    <w:rsid w:val="004D3B76"/>
    <w:rsid w:val="004F6762"/>
    <w:rsid w:val="004F6C1E"/>
    <w:rsid w:val="005009D5"/>
    <w:rsid w:val="00502522"/>
    <w:rsid w:val="00513E57"/>
    <w:rsid w:val="00526E30"/>
    <w:rsid w:val="00531381"/>
    <w:rsid w:val="0054692A"/>
    <w:rsid w:val="00552E28"/>
    <w:rsid w:val="005755B2"/>
    <w:rsid w:val="005801C5"/>
    <w:rsid w:val="00582EB9"/>
    <w:rsid w:val="00590BAE"/>
    <w:rsid w:val="0059475B"/>
    <w:rsid w:val="005A0309"/>
    <w:rsid w:val="005A5FC3"/>
    <w:rsid w:val="005A7BFF"/>
    <w:rsid w:val="005C4A93"/>
    <w:rsid w:val="005C5D6A"/>
    <w:rsid w:val="005C69BB"/>
    <w:rsid w:val="005D4330"/>
    <w:rsid w:val="005D638B"/>
    <w:rsid w:val="005E0C3F"/>
    <w:rsid w:val="005E7E68"/>
    <w:rsid w:val="00611D57"/>
    <w:rsid w:val="0061589E"/>
    <w:rsid w:val="00617B29"/>
    <w:rsid w:val="006337E4"/>
    <w:rsid w:val="00633F36"/>
    <w:rsid w:val="006343FC"/>
    <w:rsid w:val="00681522"/>
    <w:rsid w:val="006819B5"/>
    <w:rsid w:val="0068625E"/>
    <w:rsid w:val="006B199F"/>
    <w:rsid w:val="006B2150"/>
    <w:rsid w:val="006C40AF"/>
    <w:rsid w:val="006D6E04"/>
    <w:rsid w:val="006E104C"/>
    <w:rsid w:val="006E2554"/>
    <w:rsid w:val="006E3CB9"/>
    <w:rsid w:val="006F0545"/>
    <w:rsid w:val="006F1E04"/>
    <w:rsid w:val="006F56AF"/>
    <w:rsid w:val="00700DCF"/>
    <w:rsid w:val="007070F0"/>
    <w:rsid w:val="0071261D"/>
    <w:rsid w:val="007146F4"/>
    <w:rsid w:val="0072449A"/>
    <w:rsid w:val="00730B39"/>
    <w:rsid w:val="00732F45"/>
    <w:rsid w:val="00734651"/>
    <w:rsid w:val="007357B4"/>
    <w:rsid w:val="00765407"/>
    <w:rsid w:val="0076576A"/>
    <w:rsid w:val="007A25BE"/>
    <w:rsid w:val="007A6D99"/>
    <w:rsid w:val="007C2F17"/>
    <w:rsid w:val="007C44A4"/>
    <w:rsid w:val="007D238B"/>
    <w:rsid w:val="007D6A6C"/>
    <w:rsid w:val="007F0B9A"/>
    <w:rsid w:val="007F49DC"/>
    <w:rsid w:val="00812D8A"/>
    <w:rsid w:val="00833C84"/>
    <w:rsid w:val="00841E43"/>
    <w:rsid w:val="008B0182"/>
    <w:rsid w:val="008B0519"/>
    <w:rsid w:val="008B2C8D"/>
    <w:rsid w:val="008B3C1D"/>
    <w:rsid w:val="008E75F8"/>
    <w:rsid w:val="008F3804"/>
    <w:rsid w:val="0090120A"/>
    <w:rsid w:val="00904223"/>
    <w:rsid w:val="009129E8"/>
    <w:rsid w:val="00930FEA"/>
    <w:rsid w:val="00951AA8"/>
    <w:rsid w:val="009603F5"/>
    <w:rsid w:val="00971BC0"/>
    <w:rsid w:val="00972580"/>
    <w:rsid w:val="00986D71"/>
    <w:rsid w:val="00997535"/>
    <w:rsid w:val="009A25DA"/>
    <w:rsid w:val="009B6452"/>
    <w:rsid w:val="009B7A56"/>
    <w:rsid w:val="009D1873"/>
    <w:rsid w:val="009D4639"/>
    <w:rsid w:val="009F7D29"/>
    <w:rsid w:val="00A17B08"/>
    <w:rsid w:val="00A3216C"/>
    <w:rsid w:val="00A43322"/>
    <w:rsid w:val="00A44A1E"/>
    <w:rsid w:val="00A67EA7"/>
    <w:rsid w:val="00A8415C"/>
    <w:rsid w:val="00AA1E55"/>
    <w:rsid w:val="00AA2D39"/>
    <w:rsid w:val="00AB1298"/>
    <w:rsid w:val="00AB53FD"/>
    <w:rsid w:val="00AD14BB"/>
    <w:rsid w:val="00AD227F"/>
    <w:rsid w:val="00AD4E3F"/>
    <w:rsid w:val="00B12A52"/>
    <w:rsid w:val="00B53C90"/>
    <w:rsid w:val="00B53D49"/>
    <w:rsid w:val="00B541F6"/>
    <w:rsid w:val="00B63D67"/>
    <w:rsid w:val="00B73AA0"/>
    <w:rsid w:val="00B9575E"/>
    <w:rsid w:val="00BA472B"/>
    <w:rsid w:val="00BE0DEB"/>
    <w:rsid w:val="00BE1B99"/>
    <w:rsid w:val="00BF3FC7"/>
    <w:rsid w:val="00BF6367"/>
    <w:rsid w:val="00BF70E5"/>
    <w:rsid w:val="00C06629"/>
    <w:rsid w:val="00C20C53"/>
    <w:rsid w:val="00C61FBE"/>
    <w:rsid w:val="00C66032"/>
    <w:rsid w:val="00C956CD"/>
    <w:rsid w:val="00CB1B0F"/>
    <w:rsid w:val="00CC6603"/>
    <w:rsid w:val="00CD1B0B"/>
    <w:rsid w:val="00CD4B13"/>
    <w:rsid w:val="00CD4F34"/>
    <w:rsid w:val="00CE3B24"/>
    <w:rsid w:val="00D11329"/>
    <w:rsid w:val="00D17210"/>
    <w:rsid w:val="00D2747C"/>
    <w:rsid w:val="00D46E72"/>
    <w:rsid w:val="00D474CE"/>
    <w:rsid w:val="00D50762"/>
    <w:rsid w:val="00D6109C"/>
    <w:rsid w:val="00D63B96"/>
    <w:rsid w:val="00DA6267"/>
    <w:rsid w:val="00DD6CA4"/>
    <w:rsid w:val="00DE4933"/>
    <w:rsid w:val="00DF0415"/>
    <w:rsid w:val="00DF3043"/>
    <w:rsid w:val="00E04A88"/>
    <w:rsid w:val="00E16762"/>
    <w:rsid w:val="00E174A1"/>
    <w:rsid w:val="00E31E5A"/>
    <w:rsid w:val="00E37848"/>
    <w:rsid w:val="00E40F99"/>
    <w:rsid w:val="00E42A2B"/>
    <w:rsid w:val="00E63D5A"/>
    <w:rsid w:val="00E677D1"/>
    <w:rsid w:val="00E72AE3"/>
    <w:rsid w:val="00E72C12"/>
    <w:rsid w:val="00E86DFD"/>
    <w:rsid w:val="00EA3A7B"/>
    <w:rsid w:val="00ED2E85"/>
    <w:rsid w:val="00ED3C67"/>
    <w:rsid w:val="00F12E38"/>
    <w:rsid w:val="00F15232"/>
    <w:rsid w:val="00F23CE0"/>
    <w:rsid w:val="00F47358"/>
    <w:rsid w:val="00F65351"/>
    <w:rsid w:val="00F67314"/>
    <w:rsid w:val="00F877B0"/>
    <w:rsid w:val="00F91F0D"/>
    <w:rsid w:val="00FA2856"/>
    <w:rsid w:val="00FA5791"/>
    <w:rsid w:val="00FA7CC4"/>
    <w:rsid w:val="00FC4D28"/>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DDAA3"/>
  <w15:chartTrackingRefBased/>
  <w15:docId w15:val="{5B70A33C-6E45-5F43-A7FE-1E9EE9127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20A"/>
  </w:style>
  <w:style w:type="paragraph" w:styleId="Heading1">
    <w:name w:val="heading 1"/>
    <w:basedOn w:val="Normal"/>
    <w:next w:val="Normal"/>
    <w:link w:val="Heading1Char"/>
    <w:uiPriority w:val="9"/>
    <w:qFormat/>
    <w:rsid w:val="009012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90120A"/>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20A"/>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90120A"/>
    <w:rPr>
      <w:rFonts w:ascii="Times New Roman" w:eastAsia="Times New Roman" w:hAnsi="Times New Roman" w:cs="Times New Roman"/>
      <w:b/>
      <w:bCs/>
    </w:rPr>
  </w:style>
  <w:style w:type="paragraph" w:styleId="FootnoteText">
    <w:name w:val="footnote text"/>
    <w:basedOn w:val="Normal"/>
    <w:link w:val="FootnoteTextChar"/>
    <w:uiPriority w:val="99"/>
    <w:unhideWhenUsed/>
    <w:qFormat/>
    <w:rsid w:val="0090120A"/>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90120A"/>
    <w:rPr>
      <w:rFonts w:ascii="Times New Roman" w:eastAsia="Times New Roman" w:hAnsi="Times New Roman" w:cs="Times New Roman"/>
    </w:rPr>
  </w:style>
  <w:style w:type="character" w:styleId="FootnoteReference">
    <w:name w:val="footnote reference"/>
    <w:basedOn w:val="DefaultParagraphFont"/>
    <w:uiPriority w:val="99"/>
    <w:unhideWhenUsed/>
    <w:rsid w:val="0090120A"/>
    <w:rPr>
      <w:vertAlign w:val="superscript"/>
    </w:rPr>
  </w:style>
  <w:style w:type="paragraph" w:styleId="ListParagraph">
    <w:name w:val="List Paragraph"/>
    <w:basedOn w:val="Normal"/>
    <w:uiPriority w:val="34"/>
    <w:qFormat/>
    <w:rsid w:val="0090120A"/>
    <w:pPr>
      <w:ind w:left="720"/>
      <w:contextualSpacing/>
    </w:pPr>
  </w:style>
  <w:style w:type="character" w:styleId="Hyperlink">
    <w:name w:val="Hyperlink"/>
    <w:basedOn w:val="DefaultParagraphFont"/>
    <w:uiPriority w:val="99"/>
    <w:semiHidden/>
    <w:unhideWhenUsed/>
    <w:rsid w:val="0090120A"/>
    <w:rPr>
      <w:color w:val="0000FF"/>
      <w:u w:val="single"/>
    </w:rPr>
  </w:style>
  <w:style w:type="paragraph" w:styleId="Header">
    <w:name w:val="header"/>
    <w:basedOn w:val="Normal"/>
    <w:link w:val="HeaderChar"/>
    <w:uiPriority w:val="99"/>
    <w:unhideWhenUsed/>
    <w:rsid w:val="0090120A"/>
    <w:pPr>
      <w:tabs>
        <w:tab w:val="center" w:pos="4513"/>
        <w:tab w:val="right" w:pos="9026"/>
      </w:tabs>
    </w:pPr>
  </w:style>
  <w:style w:type="character" w:customStyle="1" w:styleId="HeaderChar">
    <w:name w:val="Header Char"/>
    <w:basedOn w:val="DefaultParagraphFont"/>
    <w:link w:val="Header"/>
    <w:uiPriority w:val="99"/>
    <w:rsid w:val="0090120A"/>
  </w:style>
  <w:style w:type="paragraph" w:styleId="Footer">
    <w:name w:val="footer"/>
    <w:basedOn w:val="Normal"/>
    <w:link w:val="FooterChar"/>
    <w:uiPriority w:val="99"/>
    <w:unhideWhenUsed/>
    <w:rsid w:val="0090120A"/>
    <w:pPr>
      <w:tabs>
        <w:tab w:val="center" w:pos="4513"/>
        <w:tab w:val="right" w:pos="9026"/>
      </w:tabs>
    </w:pPr>
  </w:style>
  <w:style w:type="character" w:customStyle="1" w:styleId="FooterChar">
    <w:name w:val="Footer Char"/>
    <w:basedOn w:val="DefaultParagraphFont"/>
    <w:link w:val="Footer"/>
    <w:uiPriority w:val="99"/>
    <w:rsid w:val="0090120A"/>
  </w:style>
  <w:style w:type="character" w:customStyle="1" w:styleId="markedcontent">
    <w:name w:val="markedcontent"/>
    <w:basedOn w:val="DefaultParagraphFont"/>
    <w:rsid w:val="0090120A"/>
  </w:style>
  <w:style w:type="character" w:styleId="Emphasis">
    <w:name w:val="Emphasis"/>
    <w:basedOn w:val="DefaultParagraphFont"/>
    <w:uiPriority w:val="20"/>
    <w:qFormat/>
    <w:rsid w:val="0090120A"/>
    <w:rPr>
      <w:i/>
      <w:iCs/>
    </w:rPr>
  </w:style>
  <w:style w:type="character" w:customStyle="1" w:styleId="polytonic">
    <w:name w:val="polytonic"/>
    <w:basedOn w:val="DefaultParagraphFont"/>
    <w:rsid w:val="0090120A"/>
  </w:style>
  <w:style w:type="character" w:customStyle="1" w:styleId="highlight">
    <w:name w:val="highlight"/>
    <w:basedOn w:val="DefaultParagraphFont"/>
    <w:rsid w:val="0090120A"/>
  </w:style>
  <w:style w:type="paragraph" w:customStyle="1" w:styleId="EndNoteBibliography">
    <w:name w:val="EndNote Bibliography"/>
    <w:basedOn w:val="Normal"/>
    <w:rsid w:val="0090120A"/>
    <w:rPr>
      <w:rFonts w:ascii="Garamond" w:eastAsia="Times New Roman" w:hAnsi="Garamond" w:cs="Times New Roman"/>
      <w:lang w:val="en-US"/>
    </w:rPr>
  </w:style>
  <w:style w:type="character" w:customStyle="1" w:styleId="body-text">
    <w:name w:val="body-text"/>
    <w:basedOn w:val="DefaultParagraphFont"/>
    <w:rsid w:val="0090120A"/>
  </w:style>
  <w:style w:type="character" w:customStyle="1" w:styleId="name">
    <w:name w:val="name"/>
    <w:basedOn w:val="DefaultParagraphFont"/>
    <w:rsid w:val="0090120A"/>
  </w:style>
  <w:style w:type="character" w:customStyle="1" w:styleId="apple-converted-space">
    <w:name w:val="apple-converted-space"/>
    <w:basedOn w:val="DefaultParagraphFont"/>
    <w:rsid w:val="0090120A"/>
  </w:style>
  <w:style w:type="paragraph" w:customStyle="1" w:styleId="fst">
    <w:name w:val="fst"/>
    <w:basedOn w:val="Normal"/>
    <w:rsid w:val="0090120A"/>
    <w:pPr>
      <w:spacing w:before="100" w:beforeAutospacing="1" w:after="100" w:afterAutospacing="1"/>
    </w:pPr>
    <w:rPr>
      <w:rFonts w:ascii="Times New Roman" w:eastAsia="Times New Roman" w:hAnsi="Times New Roman" w:cs="Times New Roman"/>
    </w:rPr>
  </w:style>
  <w:style w:type="character" w:customStyle="1" w:styleId="fn">
    <w:name w:val="fn"/>
    <w:basedOn w:val="DefaultParagraphFont"/>
    <w:rsid w:val="0090120A"/>
  </w:style>
  <w:style w:type="character" w:customStyle="1" w:styleId="Subtitle1">
    <w:name w:val="Subtitle1"/>
    <w:basedOn w:val="DefaultParagraphFont"/>
    <w:rsid w:val="0090120A"/>
  </w:style>
  <w:style w:type="character" w:styleId="PageNumber">
    <w:name w:val="page number"/>
    <w:basedOn w:val="DefaultParagraphFont"/>
    <w:uiPriority w:val="99"/>
    <w:semiHidden/>
    <w:unhideWhenUsed/>
    <w:rsid w:val="0090120A"/>
  </w:style>
  <w:style w:type="paragraph" w:styleId="EndnoteText">
    <w:name w:val="endnote text"/>
    <w:link w:val="EndnoteTextChar"/>
    <w:rsid w:val="0090120A"/>
    <w:pPr>
      <w:pBdr>
        <w:top w:val="nil"/>
        <w:left w:val="nil"/>
        <w:bottom w:val="nil"/>
        <w:right w:val="nil"/>
        <w:between w:val="nil"/>
        <w:bar w:val="nil"/>
      </w:pBdr>
    </w:pPr>
    <w:rPr>
      <w:rFonts w:ascii="Calibri" w:eastAsia="Calibri" w:hAnsi="Calibri" w:cs="Calibri"/>
      <w:color w:val="000000"/>
      <w:sz w:val="20"/>
      <w:szCs w:val="20"/>
      <w:u w:color="000000"/>
      <w:bdr w:val="nil"/>
      <w:lang w:val="en-US" w:eastAsia="en-GB"/>
    </w:rPr>
  </w:style>
  <w:style w:type="character" w:customStyle="1" w:styleId="EndnoteTextChar">
    <w:name w:val="Endnote Text Char"/>
    <w:basedOn w:val="DefaultParagraphFont"/>
    <w:link w:val="EndnoteText"/>
    <w:rsid w:val="0090120A"/>
    <w:rPr>
      <w:rFonts w:ascii="Calibri" w:eastAsia="Calibri" w:hAnsi="Calibri" w:cs="Calibri"/>
      <w:color w:val="000000"/>
      <w:sz w:val="20"/>
      <w:szCs w:val="20"/>
      <w:u w:color="000000"/>
      <w:bdr w:val="nil"/>
      <w:lang w:val="en-US" w:eastAsia="en-GB"/>
    </w:rPr>
  </w:style>
  <w:style w:type="character" w:styleId="EndnoteReference">
    <w:name w:val="endnote reference"/>
    <w:basedOn w:val="DefaultParagraphFont"/>
    <w:uiPriority w:val="99"/>
    <w:semiHidden/>
    <w:unhideWhenUsed/>
    <w:rsid w:val="0090120A"/>
    <w:rPr>
      <w:vertAlign w:val="superscript"/>
    </w:rPr>
  </w:style>
  <w:style w:type="paragraph" w:styleId="NormalWeb">
    <w:name w:val="Normal (Web)"/>
    <w:basedOn w:val="Normal"/>
    <w:uiPriority w:val="99"/>
    <w:semiHidden/>
    <w:unhideWhenUsed/>
    <w:rsid w:val="00FC4D28"/>
    <w:pPr>
      <w:spacing w:before="100" w:beforeAutospacing="1" w:after="100" w:afterAutospacing="1"/>
    </w:pPr>
    <w:rPr>
      <w:rFonts w:ascii="Times New Roman" w:eastAsia="Times New Roman" w:hAnsi="Times New Roman" w:cs="Times New Roman"/>
    </w:rPr>
  </w:style>
  <w:style w:type="character" w:customStyle="1" w:styleId="rend-italic">
    <w:name w:val="rend-italic"/>
    <w:basedOn w:val="DefaultParagraphFont"/>
    <w:rsid w:val="00E42A2B"/>
  </w:style>
  <w:style w:type="character" w:styleId="HTMLCite">
    <w:name w:val="HTML Cite"/>
    <w:basedOn w:val="DefaultParagraphFont"/>
    <w:uiPriority w:val="99"/>
    <w:semiHidden/>
    <w:unhideWhenUsed/>
    <w:rsid w:val="004D3B76"/>
    <w:rPr>
      <w:i/>
      <w:iCs/>
    </w:rPr>
  </w:style>
  <w:style w:type="character" w:customStyle="1" w:styleId="src">
    <w:name w:val="src"/>
    <w:basedOn w:val="DefaultParagraphFont"/>
    <w:rsid w:val="004D3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914680">
      <w:bodyDiv w:val="1"/>
      <w:marLeft w:val="0"/>
      <w:marRight w:val="0"/>
      <w:marTop w:val="0"/>
      <w:marBottom w:val="0"/>
      <w:divBdr>
        <w:top w:val="none" w:sz="0" w:space="0" w:color="auto"/>
        <w:left w:val="none" w:sz="0" w:space="0" w:color="auto"/>
        <w:bottom w:val="none" w:sz="0" w:space="0" w:color="auto"/>
        <w:right w:val="none" w:sz="0" w:space="0" w:color="auto"/>
      </w:divBdr>
      <w:divsChild>
        <w:div w:id="1208683453">
          <w:marLeft w:val="0"/>
          <w:marRight w:val="0"/>
          <w:marTop w:val="0"/>
          <w:marBottom w:val="0"/>
          <w:divBdr>
            <w:top w:val="none" w:sz="0" w:space="0" w:color="auto"/>
            <w:left w:val="none" w:sz="0" w:space="0" w:color="auto"/>
            <w:bottom w:val="none" w:sz="0" w:space="0" w:color="auto"/>
            <w:right w:val="none" w:sz="0" w:space="0" w:color="auto"/>
          </w:divBdr>
          <w:divsChild>
            <w:div w:id="1238126930">
              <w:marLeft w:val="0"/>
              <w:marRight w:val="0"/>
              <w:marTop w:val="0"/>
              <w:marBottom w:val="0"/>
              <w:divBdr>
                <w:top w:val="none" w:sz="0" w:space="0" w:color="auto"/>
                <w:left w:val="none" w:sz="0" w:space="0" w:color="auto"/>
                <w:bottom w:val="none" w:sz="0" w:space="0" w:color="auto"/>
                <w:right w:val="none" w:sz="0" w:space="0" w:color="auto"/>
              </w:divBdr>
            </w:div>
            <w:div w:id="1516652911">
              <w:marLeft w:val="0"/>
              <w:marRight w:val="0"/>
              <w:marTop w:val="0"/>
              <w:marBottom w:val="0"/>
              <w:divBdr>
                <w:top w:val="none" w:sz="0" w:space="0" w:color="auto"/>
                <w:left w:val="none" w:sz="0" w:space="0" w:color="auto"/>
                <w:bottom w:val="none" w:sz="0" w:space="0" w:color="auto"/>
                <w:right w:val="none" w:sz="0" w:space="0" w:color="auto"/>
              </w:divBdr>
            </w:div>
          </w:divsChild>
        </w:div>
        <w:div w:id="1506901692">
          <w:marLeft w:val="0"/>
          <w:marRight w:val="0"/>
          <w:marTop w:val="0"/>
          <w:marBottom w:val="0"/>
          <w:divBdr>
            <w:top w:val="none" w:sz="0" w:space="0" w:color="auto"/>
            <w:left w:val="none" w:sz="0" w:space="0" w:color="auto"/>
            <w:bottom w:val="none" w:sz="0" w:space="0" w:color="auto"/>
            <w:right w:val="none" w:sz="0" w:space="0" w:color="auto"/>
          </w:divBdr>
          <w:divsChild>
            <w:div w:id="17484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09908">
      <w:bodyDiv w:val="1"/>
      <w:marLeft w:val="0"/>
      <w:marRight w:val="0"/>
      <w:marTop w:val="0"/>
      <w:marBottom w:val="0"/>
      <w:divBdr>
        <w:top w:val="none" w:sz="0" w:space="0" w:color="auto"/>
        <w:left w:val="none" w:sz="0" w:space="0" w:color="auto"/>
        <w:bottom w:val="none" w:sz="0" w:space="0" w:color="auto"/>
        <w:right w:val="none" w:sz="0" w:space="0" w:color="auto"/>
      </w:divBdr>
    </w:div>
    <w:div w:id="164438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1511</TotalTime>
  <Pages>21</Pages>
  <Words>8039</Words>
  <Characters>45825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aylon Cohen</dc:creator>
  <cp:keywords/>
  <dc:description/>
  <cp:lastModifiedBy>aylon Cohen</cp:lastModifiedBy>
  <cp:revision>9</cp:revision>
  <dcterms:created xsi:type="dcterms:W3CDTF">2023-03-28T19:40:00Z</dcterms:created>
  <dcterms:modified xsi:type="dcterms:W3CDTF">2023-04-04T13:42:00Z</dcterms:modified>
</cp:coreProperties>
</file>