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57F0" w14:textId="77777777" w:rsidR="006E7B01" w:rsidRDefault="006E7B01" w:rsidP="00F5452A">
      <w:pPr>
        <w:widowControl w:val="0"/>
        <w:suppressAutoHyphens/>
        <w:spacing w:after="0" w:line="480" w:lineRule="auto"/>
        <w:rPr>
          <w:rFonts w:ascii="Times New Roman" w:eastAsia="SimSun" w:hAnsi="Times New Roman" w:cs="Times New Roman"/>
          <w:b/>
          <w:bCs/>
          <w:kern w:val="1"/>
          <w:sz w:val="24"/>
          <w:szCs w:val="24"/>
          <w:lang w:eastAsia="hi-IN" w:bidi="hi-IN"/>
        </w:rPr>
      </w:pPr>
    </w:p>
    <w:p w14:paraId="21F18162" w14:textId="77777777" w:rsidR="006E7B01" w:rsidRDefault="006E7B01" w:rsidP="00F5452A">
      <w:pPr>
        <w:widowControl w:val="0"/>
        <w:suppressAutoHyphens/>
        <w:spacing w:after="0" w:line="480" w:lineRule="auto"/>
        <w:rPr>
          <w:rFonts w:ascii="Times New Roman" w:eastAsia="SimSun" w:hAnsi="Times New Roman" w:cs="Times New Roman"/>
          <w:b/>
          <w:bCs/>
          <w:kern w:val="1"/>
          <w:sz w:val="24"/>
          <w:szCs w:val="24"/>
          <w:lang w:eastAsia="hi-IN" w:bidi="hi-IN"/>
        </w:rPr>
      </w:pPr>
    </w:p>
    <w:p w14:paraId="48FD555B" w14:textId="77777777" w:rsidR="006E7B01" w:rsidRDefault="006E7B01" w:rsidP="00F5452A">
      <w:pPr>
        <w:widowControl w:val="0"/>
        <w:suppressAutoHyphens/>
        <w:spacing w:after="0" w:line="480" w:lineRule="auto"/>
        <w:rPr>
          <w:rFonts w:ascii="Times New Roman" w:eastAsia="SimSun" w:hAnsi="Times New Roman" w:cs="Times New Roman"/>
          <w:b/>
          <w:bCs/>
          <w:kern w:val="1"/>
          <w:sz w:val="24"/>
          <w:szCs w:val="24"/>
          <w:lang w:eastAsia="hi-IN" w:bidi="hi-IN"/>
        </w:rPr>
      </w:pPr>
    </w:p>
    <w:p w14:paraId="39C06C36" w14:textId="77777777" w:rsidR="006E7B01" w:rsidRDefault="006E7B01" w:rsidP="00F5452A">
      <w:pPr>
        <w:widowControl w:val="0"/>
        <w:suppressAutoHyphens/>
        <w:spacing w:after="0" w:line="480" w:lineRule="auto"/>
        <w:rPr>
          <w:rFonts w:ascii="Times New Roman" w:eastAsia="SimSun" w:hAnsi="Times New Roman" w:cs="Times New Roman"/>
          <w:b/>
          <w:bCs/>
          <w:kern w:val="1"/>
          <w:sz w:val="24"/>
          <w:szCs w:val="24"/>
          <w:lang w:eastAsia="hi-IN" w:bidi="hi-IN"/>
        </w:rPr>
      </w:pPr>
    </w:p>
    <w:p w14:paraId="26041987" w14:textId="77777777" w:rsidR="006E7B01" w:rsidRPr="006E7B01" w:rsidRDefault="006E7B01" w:rsidP="006E7B01">
      <w:pPr>
        <w:widowControl w:val="0"/>
        <w:suppressAutoHyphens/>
        <w:spacing w:after="0" w:line="276" w:lineRule="auto"/>
        <w:jc w:val="center"/>
        <w:rPr>
          <w:rFonts w:ascii="Times New Roman" w:eastAsia="SimSun" w:hAnsi="Times New Roman" w:cs="Times New Roman"/>
          <w:b/>
          <w:bCs/>
          <w:kern w:val="1"/>
          <w:sz w:val="36"/>
          <w:szCs w:val="36"/>
          <w:lang w:eastAsia="hi-IN" w:bidi="hi-IN"/>
        </w:rPr>
      </w:pPr>
      <w:r w:rsidRPr="006E7B01">
        <w:rPr>
          <w:rFonts w:ascii="Times New Roman" w:eastAsia="SimSun" w:hAnsi="Times New Roman" w:cs="Times New Roman"/>
          <w:b/>
          <w:bCs/>
          <w:kern w:val="1"/>
          <w:sz w:val="36"/>
          <w:szCs w:val="36"/>
          <w:lang w:eastAsia="hi-IN" w:bidi="hi-IN"/>
        </w:rPr>
        <w:t xml:space="preserve">Reasoning Globally: </w:t>
      </w:r>
    </w:p>
    <w:p w14:paraId="06541595" w14:textId="77777777" w:rsidR="006E7B01" w:rsidRDefault="006E7B01" w:rsidP="006E7B01">
      <w:pPr>
        <w:widowControl w:val="0"/>
        <w:suppressAutoHyphens/>
        <w:spacing w:after="0" w:line="276" w:lineRule="auto"/>
        <w:jc w:val="center"/>
        <w:rPr>
          <w:rFonts w:ascii="Times New Roman" w:eastAsia="SimSun" w:hAnsi="Times New Roman" w:cs="Times New Roman"/>
          <w:b/>
          <w:bCs/>
          <w:kern w:val="1"/>
          <w:sz w:val="36"/>
          <w:szCs w:val="36"/>
          <w:lang w:eastAsia="hi-IN" w:bidi="hi-IN"/>
        </w:rPr>
      </w:pPr>
      <w:r w:rsidRPr="006E7B01">
        <w:rPr>
          <w:rFonts w:ascii="Times New Roman" w:eastAsia="SimSun" w:hAnsi="Times New Roman" w:cs="Times New Roman"/>
          <w:b/>
          <w:bCs/>
          <w:kern w:val="1"/>
          <w:sz w:val="36"/>
          <w:szCs w:val="36"/>
          <w:lang w:eastAsia="hi-IN" w:bidi="hi-IN"/>
        </w:rPr>
        <w:t>With a</w:t>
      </w:r>
      <w:r w:rsidR="00CE33CB">
        <w:rPr>
          <w:rFonts w:ascii="Times New Roman" w:eastAsia="SimSun" w:hAnsi="Times New Roman" w:cs="Times New Roman"/>
          <w:b/>
          <w:bCs/>
          <w:kern w:val="1"/>
          <w:sz w:val="36"/>
          <w:szCs w:val="36"/>
          <w:lang w:eastAsia="hi-IN" w:bidi="hi-IN"/>
        </w:rPr>
        <w:t xml:space="preserve"> Little Help from Their Friends</w:t>
      </w:r>
    </w:p>
    <w:p w14:paraId="62CC97D2" w14:textId="77777777" w:rsidR="006E7B01" w:rsidRDefault="006E7B01" w:rsidP="006E7B01">
      <w:pPr>
        <w:widowControl w:val="0"/>
        <w:suppressAutoHyphens/>
        <w:spacing w:after="0" w:line="360" w:lineRule="auto"/>
        <w:jc w:val="center"/>
        <w:rPr>
          <w:rFonts w:ascii="Times New Roman" w:eastAsia="SimSun" w:hAnsi="Times New Roman" w:cs="Times New Roman"/>
          <w:b/>
          <w:bCs/>
          <w:kern w:val="1"/>
          <w:sz w:val="36"/>
          <w:szCs w:val="36"/>
          <w:lang w:eastAsia="hi-IN" w:bidi="hi-IN"/>
        </w:rPr>
      </w:pPr>
    </w:p>
    <w:p w14:paraId="5DE930F3" w14:textId="77777777" w:rsidR="006E7B01" w:rsidRDefault="006E7B01" w:rsidP="006E7B01">
      <w:pPr>
        <w:widowControl w:val="0"/>
        <w:suppressAutoHyphens/>
        <w:spacing w:after="0" w:line="276" w:lineRule="auto"/>
        <w:jc w:val="center"/>
        <w:rPr>
          <w:rFonts w:ascii="Times New Roman" w:eastAsia="SimSun" w:hAnsi="Times New Roman" w:cs="Times New Roman"/>
          <w:b/>
          <w:bCs/>
          <w:kern w:val="1"/>
          <w:sz w:val="32"/>
          <w:szCs w:val="32"/>
          <w:lang w:eastAsia="hi-IN" w:bidi="hi-IN"/>
        </w:rPr>
      </w:pPr>
      <w:r>
        <w:rPr>
          <w:rFonts w:ascii="Times New Roman" w:eastAsia="SimSun" w:hAnsi="Times New Roman" w:cs="Times New Roman"/>
          <w:b/>
          <w:bCs/>
          <w:kern w:val="1"/>
          <w:sz w:val="32"/>
          <w:szCs w:val="32"/>
          <w:lang w:eastAsia="hi-IN" w:bidi="hi-IN"/>
        </w:rPr>
        <w:t>Elli Menounou</w:t>
      </w:r>
    </w:p>
    <w:p w14:paraId="5607B610" w14:textId="4A623FCB" w:rsidR="006E7B01" w:rsidRDefault="00626761"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r>
        <w:rPr>
          <w:rFonts w:ascii="Times New Roman" w:eastAsia="SimSun" w:hAnsi="Times New Roman" w:cs="Times New Roman"/>
          <w:b/>
          <w:bCs/>
          <w:kern w:val="1"/>
          <w:sz w:val="28"/>
          <w:szCs w:val="28"/>
          <w:lang w:eastAsia="hi-IN" w:bidi="hi-IN"/>
        </w:rPr>
        <w:t>California State Polytechnic University Pomona</w:t>
      </w:r>
    </w:p>
    <w:p w14:paraId="36362909" w14:textId="56D11363" w:rsidR="00626761" w:rsidRDefault="00626761"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2DE1A3FE" w14:textId="445D17BF" w:rsidR="00626761" w:rsidRDefault="00626761"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4264D75F" w14:textId="6D4141B5" w:rsidR="00626761" w:rsidRDefault="00626761" w:rsidP="006E7B01">
      <w:pPr>
        <w:widowControl w:val="0"/>
        <w:suppressAutoHyphens/>
        <w:spacing w:after="0" w:line="276" w:lineRule="auto"/>
        <w:jc w:val="center"/>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Prepared for the Western Political Science Association Conference</w:t>
      </w:r>
    </w:p>
    <w:p w14:paraId="7B82B0E4" w14:textId="5238B192" w:rsidR="00626761" w:rsidRPr="00626761" w:rsidRDefault="00626761" w:rsidP="006E7B01">
      <w:pPr>
        <w:widowControl w:val="0"/>
        <w:suppressAutoHyphens/>
        <w:spacing w:after="0" w:line="276" w:lineRule="auto"/>
        <w:jc w:val="center"/>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March 2022</w:t>
      </w:r>
    </w:p>
    <w:p w14:paraId="00E07136"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3D63DF96"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3B855576"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052C5840"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11425490"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38B2CC77"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3E5AB4E4"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38DA697E"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2E0DD85F"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643286EE"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016F512D"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2689D05D"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100B4F4A"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1CED7E26"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5E0D32BC"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3B603DF6"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7635D87C"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2C356FDA" w14:textId="77777777" w:rsidR="00030D74" w:rsidRDefault="00030D74" w:rsidP="00626761">
      <w:pPr>
        <w:widowControl w:val="0"/>
        <w:suppressAutoHyphens/>
        <w:spacing w:after="0" w:line="276" w:lineRule="auto"/>
        <w:rPr>
          <w:rFonts w:ascii="Times New Roman" w:eastAsia="SimSun" w:hAnsi="Times New Roman" w:cs="Times New Roman"/>
          <w:b/>
          <w:bCs/>
          <w:kern w:val="1"/>
          <w:sz w:val="28"/>
          <w:szCs w:val="28"/>
          <w:lang w:eastAsia="hi-IN" w:bidi="hi-IN"/>
        </w:rPr>
      </w:pPr>
    </w:p>
    <w:p w14:paraId="1910D6EA"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361184E2" w14:textId="77777777" w:rsidR="00030D74" w:rsidRDefault="00030D74" w:rsidP="006E7B01">
      <w:pPr>
        <w:widowControl w:val="0"/>
        <w:suppressAutoHyphens/>
        <w:spacing w:after="0" w:line="276" w:lineRule="auto"/>
        <w:jc w:val="center"/>
        <w:rPr>
          <w:rFonts w:ascii="Times New Roman" w:eastAsia="SimSun" w:hAnsi="Times New Roman" w:cs="Times New Roman"/>
          <w:b/>
          <w:bCs/>
          <w:kern w:val="1"/>
          <w:sz w:val="28"/>
          <w:szCs w:val="28"/>
          <w:lang w:eastAsia="hi-IN" w:bidi="hi-IN"/>
        </w:rPr>
      </w:pPr>
    </w:p>
    <w:p w14:paraId="34D8DB32" w14:textId="77777777" w:rsidR="00626761" w:rsidRDefault="00626761" w:rsidP="00030D74">
      <w:pPr>
        <w:widowControl w:val="0"/>
        <w:suppressAutoHyphens/>
        <w:spacing w:after="0" w:line="480" w:lineRule="auto"/>
        <w:jc w:val="center"/>
        <w:rPr>
          <w:rFonts w:ascii="Times New Roman" w:eastAsia="SimSun" w:hAnsi="Times New Roman" w:cs="Times New Roman"/>
          <w:b/>
          <w:bCs/>
          <w:kern w:val="1"/>
          <w:sz w:val="24"/>
          <w:szCs w:val="24"/>
          <w:lang w:eastAsia="hi-IN" w:bidi="hi-IN"/>
        </w:rPr>
      </w:pPr>
    </w:p>
    <w:p w14:paraId="6F9FAF22" w14:textId="77777777" w:rsidR="00626761" w:rsidRDefault="00626761" w:rsidP="00030D74">
      <w:pPr>
        <w:widowControl w:val="0"/>
        <w:suppressAutoHyphens/>
        <w:spacing w:after="0" w:line="480" w:lineRule="auto"/>
        <w:jc w:val="center"/>
        <w:rPr>
          <w:rFonts w:ascii="Times New Roman" w:eastAsia="SimSun" w:hAnsi="Times New Roman" w:cs="Times New Roman"/>
          <w:b/>
          <w:bCs/>
          <w:kern w:val="1"/>
          <w:sz w:val="24"/>
          <w:szCs w:val="24"/>
          <w:lang w:eastAsia="hi-IN" w:bidi="hi-IN"/>
        </w:rPr>
      </w:pPr>
    </w:p>
    <w:p w14:paraId="37AA916C" w14:textId="77777777" w:rsidR="00626761" w:rsidRDefault="00626761" w:rsidP="00030D74">
      <w:pPr>
        <w:widowControl w:val="0"/>
        <w:suppressAutoHyphens/>
        <w:spacing w:after="0" w:line="480" w:lineRule="auto"/>
        <w:jc w:val="center"/>
        <w:rPr>
          <w:rFonts w:ascii="Times New Roman" w:eastAsia="SimSun" w:hAnsi="Times New Roman" w:cs="Times New Roman"/>
          <w:b/>
          <w:bCs/>
          <w:kern w:val="1"/>
          <w:sz w:val="24"/>
          <w:szCs w:val="24"/>
          <w:lang w:eastAsia="hi-IN" w:bidi="hi-IN"/>
        </w:rPr>
      </w:pPr>
    </w:p>
    <w:p w14:paraId="14F927EE" w14:textId="77777777" w:rsidR="00626761" w:rsidRDefault="00626761" w:rsidP="00030D74">
      <w:pPr>
        <w:widowControl w:val="0"/>
        <w:suppressAutoHyphens/>
        <w:spacing w:after="0" w:line="480" w:lineRule="auto"/>
        <w:jc w:val="center"/>
        <w:rPr>
          <w:rFonts w:ascii="Times New Roman" w:eastAsia="SimSun" w:hAnsi="Times New Roman" w:cs="Times New Roman"/>
          <w:b/>
          <w:bCs/>
          <w:kern w:val="1"/>
          <w:sz w:val="24"/>
          <w:szCs w:val="24"/>
          <w:lang w:eastAsia="hi-IN" w:bidi="hi-IN"/>
        </w:rPr>
      </w:pPr>
    </w:p>
    <w:p w14:paraId="59239C94" w14:textId="2599B673" w:rsidR="00030D74" w:rsidRDefault="00030D74" w:rsidP="00030D74">
      <w:pPr>
        <w:widowControl w:val="0"/>
        <w:suppressAutoHyphens/>
        <w:spacing w:after="0" w:line="480" w:lineRule="auto"/>
        <w:jc w:val="center"/>
        <w:rPr>
          <w:rFonts w:ascii="Times New Roman" w:eastAsia="SimSun" w:hAnsi="Times New Roman" w:cs="Times New Roman"/>
          <w:b/>
          <w:bCs/>
          <w:kern w:val="1"/>
          <w:sz w:val="24"/>
          <w:szCs w:val="24"/>
          <w:lang w:eastAsia="hi-IN" w:bidi="hi-IN"/>
        </w:rPr>
      </w:pPr>
      <w:r w:rsidRPr="00030D74">
        <w:rPr>
          <w:rFonts w:ascii="Times New Roman" w:eastAsia="SimSun" w:hAnsi="Times New Roman" w:cs="Times New Roman"/>
          <w:b/>
          <w:bCs/>
          <w:kern w:val="1"/>
          <w:sz w:val="24"/>
          <w:szCs w:val="24"/>
          <w:lang w:eastAsia="hi-IN" w:bidi="hi-IN"/>
        </w:rPr>
        <w:t>Abstract</w:t>
      </w:r>
    </w:p>
    <w:p w14:paraId="463AC8BC" w14:textId="77777777" w:rsidR="00030D74" w:rsidRPr="00030D74" w:rsidRDefault="00030D74" w:rsidP="00030D74">
      <w:pPr>
        <w:widowControl w:val="0"/>
        <w:suppressAutoHyphens/>
        <w:spacing w:after="0" w:line="480" w:lineRule="auto"/>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The judicial globalization literature, and attempts to study it in the United States, has focused on the role of the judge as a deliberate, independent actor in the international environment. Research on Supreme Court opinion content, however, suggests that the opinion language is often influenced by actors outside of the judiciary itself. In this study, I assess the effect of transnational citations by parties’ and amici brief on the Supreme Court’s engagement in global judicial dialogue. I use an original database of foreign and international law citations in briefs and opinions, and </w:t>
      </w:r>
      <w:r w:rsidR="005C43B5">
        <w:rPr>
          <w:rFonts w:ascii="Times New Roman" w:eastAsia="SimSun" w:hAnsi="Times New Roman" w:cs="Times New Roman"/>
          <w:bCs/>
          <w:kern w:val="1"/>
          <w:sz w:val="24"/>
          <w:szCs w:val="24"/>
          <w:lang w:eastAsia="hi-IN" w:bidi="hi-IN"/>
        </w:rPr>
        <w:t xml:space="preserve">overall, </w:t>
      </w:r>
      <w:r>
        <w:rPr>
          <w:rFonts w:ascii="Times New Roman" w:eastAsia="SimSun" w:hAnsi="Times New Roman" w:cs="Times New Roman"/>
          <w:bCs/>
          <w:kern w:val="1"/>
          <w:sz w:val="24"/>
          <w:szCs w:val="24"/>
          <w:lang w:eastAsia="hi-IN" w:bidi="hi-IN"/>
        </w:rPr>
        <w:t>I show that, litigants and friends of the court are significant actors in this process of judicial globalization.</w:t>
      </w:r>
    </w:p>
    <w:p w14:paraId="5833AE82" w14:textId="77777777" w:rsidR="00030D74" w:rsidRPr="00030D74" w:rsidRDefault="00030D74" w:rsidP="00030D74">
      <w:pPr>
        <w:widowControl w:val="0"/>
        <w:suppressAutoHyphens/>
        <w:spacing w:after="0" w:line="480" w:lineRule="auto"/>
        <w:rPr>
          <w:rFonts w:ascii="Times New Roman" w:eastAsia="SimSun" w:hAnsi="Times New Roman" w:cs="Times New Roman"/>
          <w:bCs/>
          <w:kern w:val="1"/>
          <w:sz w:val="28"/>
          <w:szCs w:val="28"/>
          <w:lang w:eastAsia="hi-IN" w:bidi="hi-IN"/>
        </w:rPr>
      </w:pPr>
    </w:p>
    <w:p w14:paraId="51BAA5BD" w14:textId="77777777" w:rsidR="00030D74" w:rsidRDefault="00030D74" w:rsidP="00030D74">
      <w:pPr>
        <w:widowControl w:val="0"/>
        <w:suppressAutoHyphens/>
        <w:spacing w:after="0" w:line="480" w:lineRule="auto"/>
        <w:jc w:val="center"/>
        <w:rPr>
          <w:rFonts w:ascii="Times New Roman" w:eastAsia="SimSun" w:hAnsi="Times New Roman" w:cs="Times New Roman"/>
          <w:b/>
          <w:bCs/>
          <w:kern w:val="1"/>
          <w:sz w:val="28"/>
          <w:szCs w:val="28"/>
          <w:lang w:eastAsia="hi-IN" w:bidi="hi-IN"/>
        </w:rPr>
      </w:pPr>
    </w:p>
    <w:p w14:paraId="00752ED0" w14:textId="77777777" w:rsidR="006E7B01" w:rsidRDefault="006E7B01" w:rsidP="00030D74">
      <w:pPr>
        <w:widowControl w:val="0"/>
        <w:suppressAutoHyphens/>
        <w:spacing w:after="0" w:line="480" w:lineRule="auto"/>
        <w:jc w:val="center"/>
        <w:rPr>
          <w:rFonts w:ascii="Times New Roman" w:eastAsia="SimSun" w:hAnsi="Times New Roman" w:cs="Times New Roman"/>
          <w:b/>
          <w:bCs/>
          <w:kern w:val="1"/>
          <w:sz w:val="28"/>
          <w:szCs w:val="28"/>
          <w:lang w:eastAsia="hi-IN" w:bidi="hi-IN"/>
        </w:rPr>
      </w:pPr>
    </w:p>
    <w:p w14:paraId="2A918B4D" w14:textId="77777777" w:rsidR="006E7B01" w:rsidRDefault="006E7B01" w:rsidP="00030D74">
      <w:pPr>
        <w:widowControl w:val="0"/>
        <w:suppressAutoHyphens/>
        <w:spacing w:after="0" w:line="480" w:lineRule="auto"/>
        <w:jc w:val="center"/>
        <w:rPr>
          <w:rFonts w:ascii="Times New Roman" w:eastAsia="SimSun" w:hAnsi="Times New Roman" w:cs="Times New Roman"/>
          <w:b/>
          <w:bCs/>
          <w:kern w:val="1"/>
          <w:sz w:val="28"/>
          <w:szCs w:val="28"/>
          <w:lang w:eastAsia="hi-IN" w:bidi="hi-IN"/>
        </w:rPr>
      </w:pPr>
    </w:p>
    <w:p w14:paraId="2C99C31F" w14:textId="77777777" w:rsidR="006E7B01" w:rsidRDefault="006E7B01" w:rsidP="00030D74">
      <w:pPr>
        <w:widowControl w:val="0"/>
        <w:suppressAutoHyphens/>
        <w:spacing w:after="0" w:line="480" w:lineRule="auto"/>
        <w:jc w:val="center"/>
        <w:rPr>
          <w:rFonts w:ascii="Times New Roman" w:eastAsia="SimSun" w:hAnsi="Times New Roman" w:cs="Times New Roman"/>
          <w:b/>
          <w:bCs/>
          <w:kern w:val="1"/>
          <w:sz w:val="28"/>
          <w:szCs w:val="28"/>
          <w:lang w:eastAsia="hi-IN" w:bidi="hi-IN"/>
        </w:rPr>
      </w:pPr>
    </w:p>
    <w:p w14:paraId="17E58569" w14:textId="77777777" w:rsidR="00626761" w:rsidRDefault="00626761" w:rsidP="00F5452A">
      <w:pPr>
        <w:widowControl w:val="0"/>
        <w:suppressAutoHyphens/>
        <w:spacing w:after="0" w:line="480" w:lineRule="auto"/>
        <w:rPr>
          <w:rFonts w:ascii="Times New Roman" w:eastAsia="SimSun" w:hAnsi="Times New Roman" w:cs="Times New Roman"/>
          <w:b/>
          <w:bCs/>
          <w:kern w:val="1"/>
          <w:sz w:val="28"/>
          <w:szCs w:val="28"/>
          <w:lang w:eastAsia="hi-IN" w:bidi="hi-IN"/>
        </w:rPr>
      </w:pPr>
    </w:p>
    <w:p w14:paraId="2E9332FD" w14:textId="77777777" w:rsidR="00626761" w:rsidRDefault="00626761" w:rsidP="00F5452A">
      <w:pPr>
        <w:widowControl w:val="0"/>
        <w:suppressAutoHyphens/>
        <w:spacing w:after="0" w:line="480" w:lineRule="auto"/>
        <w:rPr>
          <w:rFonts w:ascii="Times New Roman" w:eastAsia="SimSun" w:hAnsi="Times New Roman" w:cs="Times New Roman"/>
          <w:b/>
          <w:bCs/>
          <w:kern w:val="1"/>
          <w:sz w:val="24"/>
          <w:szCs w:val="24"/>
          <w:lang w:eastAsia="hi-IN" w:bidi="hi-IN"/>
        </w:rPr>
      </w:pPr>
    </w:p>
    <w:p w14:paraId="0C48C721" w14:textId="77777777" w:rsidR="00626761" w:rsidRDefault="00626761" w:rsidP="00F5452A">
      <w:pPr>
        <w:widowControl w:val="0"/>
        <w:suppressAutoHyphens/>
        <w:spacing w:after="0" w:line="480" w:lineRule="auto"/>
        <w:rPr>
          <w:rFonts w:ascii="Times New Roman" w:eastAsia="SimSun" w:hAnsi="Times New Roman" w:cs="Times New Roman"/>
          <w:b/>
          <w:bCs/>
          <w:kern w:val="1"/>
          <w:sz w:val="24"/>
          <w:szCs w:val="24"/>
          <w:lang w:eastAsia="hi-IN" w:bidi="hi-IN"/>
        </w:rPr>
      </w:pPr>
    </w:p>
    <w:p w14:paraId="4BF1221C" w14:textId="6017CE0E" w:rsidR="0038114F" w:rsidRPr="0038114F" w:rsidRDefault="0038114F" w:rsidP="00F5452A">
      <w:pPr>
        <w:widowControl w:val="0"/>
        <w:suppressAutoHyphens/>
        <w:spacing w:after="0" w:line="480" w:lineRule="auto"/>
        <w:rPr>
          <w:rFonts w:ascii="Times New Roman" w:eastAsia="SimSun" w:hAnsi="Times New Roman" w:cs="Times New Roman"/>
          <w:b/>
          <w:bCs/>
          <w:kern w:val="1"/>
          <w:sz w:val="24"/>
          <w:szCs w:val="24"/>
          <w:lang w:eastAsia="hi-IN" w:bidi="hi-IN"/>
        </w:rPr>
      </w:pPr>
      <w:r>
        <w:rPr>
          <w:rFonts w:ascii="Times New Roman" w:eastAsia="SimSun" w:hAnsi="Times New Roman" w:cs="Times New Roman"/>
          <w:b/>
          <w:bCs/>
          <w:kern w:val="1"/>
          <w:sz w:val="24"/>
          <w:szCs w:val="24"/>
          <w:lang w:eastAsia="hi-IN" w:bidi="hi-IN"/>
        </w:rPr>
        <w:lastRenderedPageBreak/>
        <w:t>Introduction</w:t>
      </w:r>
    </w:p>
    <w:p w14:paraId="7CB6648C" w14:textId="77777777" w:rsidR="00F5452A" w:rsidRDefault="00F5452A" w:rsidP="00F5452A">
      <w:pPr>
        <w:widowControl w:val="0"/>
        <w:suppressAutoHyphens/>
        <w:spacing w:after="0" w:line="480" w:lineRule="auto"/>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In the 2005 case of </w:t>
      </w:r>
      <w:r>
        <w:rPr>
          <w:rFonts w:ascii="Times New Roman" w:eastAsia="SimSun" w:hAnsi="Times New Roman" w:cs="Times New Roman"/>
          <w:bCs/>
          <w:i/>
          <w:kern w:val="1"/>
          <w:sz w:val="24"/>
          <w:szCs w:val="24"/>
          <w:lang w:eastAsia="hi-IN" w:bidi="hi-IN"/>
        </w:rPr>
        <w:t xml:space="preserve">Roper </w:t>
      </w:r>
      <w:r w:rsidRPr="0038114F">
        <w:rPr>
          <w:rFonts w:ascii="Times New Roman" w:eastAsia="SimSun" w:hAnsi="Times New Roman" w:cs="Times New Roman"/>
          <w:bCs/>
          <w:kern w:val="1"/>
          <w:sz w:val="24"/>
          <w:szCs w:val="24"/>
          <w:lang w:eastAsia="hi-IN" w:bidi="hi-IN"/>
        </w:rPr>
        <w:t>v.</w:t>
      </w:r>
      <w:r>
        <w:rPr>
          <w:rFonts w:ascii="Times New Roman" w:eastAsia="SimSun" w:hAnsi="Times New Roman" w:cs="Times New Roman"/>
          <w:bCs/>
          <w:i/>
          <w:kern w:val="1"/>
          <w:sz w:val="24"/>
          <w:szCs w:val="24"/>
          <w:lang w:eastAsia="hi-IN" w:bidi="hi-IN"/>
        </w:rPr>
        <w:t xml:space="preserve"> Simmons</w:t>
      </w:r>
      <w:r>
        <w:rPr>
          <w:rFonts w:ascii="Times New Roman" w:eastAsia="SimSun" w:hAnsi="Times New Roman" w:cs="Times New Roman"/>
          <w:bCs/>
          <w:kern w:val="1"/>
          <w:sz w:val="24"/>
          <w:szCs w:val="24"/>
          <w:lang w:eastAsia="hi-IN" w:bidi="hi-IN"/>
        </w:rPr>
        <w:t>, the United States Supreme Court found that sentencing juveniles to death is a violation of the Eighth Amendment. The majority opinion, authored by Justice Kennedy, stated, among other things, that “Article 37 of the United Nations Convention on the Rights of the Child, which every country of the world has ratified save for the United States and Somalia, contains an express prohibition on capital punishment for crimes committed by juveniles under 18” (</w:t>
      </w:r>
      <w:r>
        <w:rPr>
          <w:rFonts w:ascii="Times New Roman" w:eastAsia="SimSun" w:hAnsi="Times New Roman" w:cs="Times New Roman"/>
          <w:bCs/>
          <w:i/>
          <w:kern w:val="1"/>
          <w:sz w:val="24"/>
          <w:szCs w:val="24"/>
          <w:lang w:eastAsia="hi-IN" w:bidi="hi-IN"/>
        </w:rPr>
        <w:t xml:space="preserve">Roper </w:t>
      </w:r>
      <w:r w:rsidRPr="0038114F">
        <w:rPr>
          <w:rFonts w:ascii="Times New Roman" w:eastAsia="SimSun" w:hAnsi="Times New Roman" w:cs="Times New Roman"/>
          <w:bCs/>
          <w:kern w:val="1"/>
          <w:sz w:val="24"/>
          <w:szCs w:val="24"/>
          <w:lang w:eastAsia="hi-IN" w:bidi="hi-IN"/>
        </w:rPr>
        <w:t>v</w:t>
      </w:r>
      <w:r>
        <w:rPr>
          <w:rFonts w:ascii="Times New Roman" w:eastAsia="SimSun" w:hAnsi="Times New Roman" w:cs="Times New Roman"/>
          <w:bCs/>
          <w:i/>
          <w:kern w:val="1"/>
          <w:sz w:val="24"/>
          <w:szCs w:val="24"/>
          <w:lang w:eastAsia="hi-IN" w:bidi="hi-IN"/>
        </w:rPr>
        <w:t>. Simmons</w:t>
      </w:r>
      <w:r w:rsidR="0038114F">
        <w:rPr>
          <w:rFonts w:ascii="Times New Roman" w:eastAsia="SimSun" w:hAnsi="Times New Roman" w:cs="Times New Roman"/>
          <w:bCs/>
          <w:kern w:val="1"/>
          <w:sz w:val="24"/>
          <w:szCs w:val="24"/>
          <w:lang w:eastAsia="hi-IN" w:bidi="hi-IN"/>
        </w:rPr>
        <w:t xml:space="preserve"> 2005,</w:t>
      </w:r>
      <w:r>
        <w:rPr>
          <w:rFonts w:ascii="Times New Roman" w:eastAsia="SimSun" w:hAnsi="Times New Roman" w:cs="Times New Roman"/>
          <w:bCs/>
          <w:i/>
          <w:kern w:val="1"/>
          <w:sz w:val="24"/>
          <w:szCs w:val="24"/>
          <w:lang w:eastAsia="hi-IN" w:bidi="hi-IN"/>
        </w:rPr>
        <w:t xml:space="preserve"> </w:t>
      </w:r>
      <w:r>
        <w:rPr>
          <w:rFonts w:ascii="Times New Roman" w:eastAsia="SimSun" w:hAnsi="Times New Roman" w:cs="Times New Roman"/>
          <w:bCs/>
          <w:kern w:val="1"/>
          <w:sz w:val="24"/>
          <w:szCs w:val="24"/>
          <w:lang w:eastAsia="hi-IN" w:bidi="hi-IN"/>
        </w:rPr>
        <w:t xml:space="preserve">22). With the use of this citation, in addition to offering his opinion on the other branches’ behavior on international matters, Justice Kennedy appeared to reaffirm a seemingly increasing trend in Supreme Court opinion writing: the citing of foreign or international law materials in domestic cases. Before </w:t>
      </w:r>
      <w:r>
        <w:rPr>
          <w:rFonts w:ascii="Times New Roman" w:eastAsia="SimSun" w:hAnsi="Times New Roman" w:cs="Times New Roman"/>
          <w:bCs/>
          <w:i/>
          <w:kern w:val="1"/>
          <w:sz w:val="24"/>
          <w:szCs w:val="24"/>
          <w:lang w:eastAsia="hi-IN" w:bidi="hi-IN"/>
        </w:rPr>
        <w:t>Roper v. Simmons</w:t>
      </w:r>
      <w:r>
        <w:rPr>
          <w:rFonts w:ascii="Times New Roman" w:eastAsia="SimSun" w:hAnsi="Times New Roman" w:cs="Times New Roman"/>
          <w:bCs/>
          <w:kern w:val="1"/>
          <w:sz w:val="24"/>
          <w:szCs w:val="24"/>
          <w:lang w:eastAsia="hi-IN" w:bidi="hi-IN"/>
        </w:rPr>
        <w:t xml:space="preserve">, the U.S. Supreme Court had brought this practice to the forefront by utilizing foreign or international law in several high-profile cases, including </w:t>
      </w:r>
      <w:r>
        <w:rPr>
          <w:rFonts w:ascii="Times New Roman" w:eastAsia="SimSun" w:hAnsi="Times New Roman" w:cs="Times New Roman"/>
          <w:bCs/>
          <w:i/>
          <w:kern w:val="1"/>
          <w:sz w:val="24"/>
          <w:szCs w:val="24"/>
          <w:lang w:eastAsia="hi-IN" w:bidi="hi-IN"/>
        </w:rPr>
        <w:t xml:space="preserve">Lawrence v. Texas </w:t>
      </w:r>
      <w:r>
        <w:rPr>
          <w:rFonts w:ascii="Times New Roman" w:eastAsia="SimSun" w:hAnsi="Times New Roman" w:cs="Times New Roman"/>
          <w:bCs/>
          <w:kern w:val="1"/>
          <w:sz w:val="24"/>
          <w:szCs w:val="24"/>
          <w:lang w:eastAsia="hi-IN" w:bidi="hi-IN"/>
        </w:rPr>
        <w:t xml:space="preserve">(2003) and </w:t>
      </w:r>
      <w:r>
        <w:rPr>
          <w:rFonts w:ascii="Times New Roman" w:eastAsia="SimSun" w:hAnsi="Times New Roman" w:cs="Times New Roman"/>
          <w:bCs/>
          <w:i/>
          <w:kern w:val="1"/>
          <w:sz w:val="24"/>
          <w:szCs w:val="24"/>
          <w:lang w:eastAsia="hi-IN" w:bidi="hi-IN"/>
        </w:rPr>
        <w:t>Grutter v. Bollinger</w:t>
      </w:r>
      <w:r>
        <w:rPr>
          <w:rFonts w:ascii="Times New Roman" w:eastAsia="SimSun" w:hAnsi="Times New Roman" w:cs="Times New Roman"/>
          <w:bCs/>
          <w:kern w:val="1"/>
          <w:sz w:val="24"/>
          <w:szCs w:val="24"/>
          <w:lang w:eastAsia="hi-IN" w:bidi="hi-IN"/>
        </w:rPr>
        <w:t xml:space="preserve"> (2003).</w:t>
      </w:r>
    </w:p>
    <w:p w14:paraId="7C3C453E" w14:textId="77777777" w:rsidR="001D080F" w:rsidRDefault="0091350D" w:rsidP="006E7B01">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While the engagement of</w:t>
      </w:r>
      <w:r w:rsidR="006E7B01">
        <w:rPr>
          <w:rFonts w:ascii="Times New Roman" w:eastAsia="SimSun" w:hAnsi="Times New Roman" w:cs="Times New Roman"/>
          <w:bCs/>
          <w:kern w:val="1"/>
          <w:sz w:val="24"/>
          <w:szCs w:val="24"/>
          <w:lang w:eastAsia="hi-IN" w:bidi="hi-IN"/>
        </w:rPr>
        <w:t xml:space="preserve"> the United States Supreme Court in this transnational dialogue in </w:t>
      </w:r>
      <w:r w:rsidR="006E7B01">
        <w:rPr>
          <w:rFonts w:ascii="Times New Roman" w:eastAsia="SimSun" w:hAnsi="Times New Roman" w:cs="Times New Roman"/>
          <w:bCs/>
          <w:i/>
          <w:kern w:val="1"/>
          <w:sz w:val="24"/>
          <w:szCs w:val="24"/>
          <w:lang w:eastAsia="hi-IN" w:bidi="hi-IN"/>
        </w:rPr>
        <w:t xml:space="preserve">Roper </w:t>
      </w:r>
      <w:r w:rsidR="006E7B01">
        <w:rPr>
          <w:rFonts w:ascii="Times New Roman" w:eastAsia="SimSun" w:hAnsi="Times New Roman" w:cs="Times New Roman"/>
          <w:bCs/>
          <w:kern w:val="1"/>
          <w:sz w:val="24"/>
          <w:szCs w:val="24"/>
          <w:lang w:eastAsia="hi-IN" w:bidi="hi-IN"/>
        </w:rPr>
        <w:t xml:space="preserve">v. </w:t>
      </w:r>
      <w:r w:rsidR="006E7B01">
        <w:rPr>
          <w:rFonts w:ascii="Times New Roman" w:eastAsia="SimSun" w:hAnsi="Times New Roman" w:cs="Times New Roman"/>
          <w:bCs/>
          <w:i/>
          <w:kern w:val="1"/>
          <w:sz w:val="24"/>
          <w:szCs w:val="24"/>
          <w:lang w:eastAsia="hi-IN" w:bidi="hi-IN"/>
        </w:rPr>
        <w:t>Simmons</w:t>
      </w:r>
      <w:r w:rsidR="006E7B01">
        <w:rPr>
          <w:rFonts w:ascii="Times New Roman" w:eastAsia="SimSun" w:hAnsi="Times New Roman" w:cs="Times New Roman"/>
          <w:bCs/>
          <w:kern w:val="1"/>
          <w:sz w:val="24"/>
          <w:szCs w:val="24"/>
          <w:lang w:eastAsia="hi-IN" w:bidi="hi-IN"/>
        </w:rPr>
        <w:t xml:space="preserve"> did not remain unnoticed by the </w:t>
      </w:r>
      <w:r>
        <w:rPr>
          <w:rFonts w:ascii="Times New Roman" w:eastAsia="SimSun" w:hAnsi="Times New Roman" w:cs="Times New Roman"/>
          <w:bCs/>
          <w:kern w:val="1"/>
          <w:sz w:val="24"/>
          <w:szCs w:val="24"/>
          <w:lang w:eastAsia="hi-IN" w:bidi="hi-IN"/>
        </w:rPr>
        <w:t>Court’s audience</w:t>
      </w:r>
      <w:r w:rsidR="006E7B01">
        <w:rPr>
          <w:rFonts w:ascii="Times New Roman" w:eastAsia="SimSun" w:hAnsi="Times New Roman" w:cs="Times New Roman"/>
          <w:bCs/>
          <w:kern w:val="1"/>
          <w:sz w:val="24"/>
          <w:szCs w:val="24"/>
          <w:lang w:eastAsia="hi-IN" w:bidi="hi-IN"/>
        </w:rPr>
        <w:t xml:space="preserve">, less attention was paid to the number and diversity of briefs filed at the merits stage of the case, citing various sources of foreign and international law. </w:t>
      </w:r>
      <w:r w:rsidR="00C546B4">
        <w:rPr>
          <w:rFonts w:ascii="Times New Roman" w:eastAsia="SimSun" w:hAnsi="Times New Roman" w:cs="Times New Roman"/>
          <w:bCs/>
          <w:kern w:val="1"/>
          <w:sz w:val="24"/>
          <w:szCs w:val="24"/>
          <w:lang w:eastAsia="hi-IN" w:bidi="hi-IN"/>
        </w:rPr>
        <w:t>Simmons’ lawyers cited four international treaties and a decision by the Inter-American Court of Human Rights in their merits brief. Additionally, five amici, ranging from the ACLU</w:t>
      </w:r>
      <w:r>
        <w:rPr>
          <w:rFonts w:ascii="Times New Roman" w:eastAsia="SimSun" w:hAnsi="Times New Roman" w:cs="Times New Roman"/>
          <w:bCs/>
          <w:kern w:val="1"/>
          <w:sz w:val="24"/>
          <w:szCs w:val="24"/>
          <w:lang w:eastAsia="hi-IN" w:bidi="hi-IN"/>
        </w:rPr>
        <w:t xml:space="preserve"> to the European Union, including</w:t>
      </w:r>
      <w:r w:rsidR="00C546B4">
        <w:rPr>
          <w:rFonts w:ascii="Times New Roman" w:eastAsia="SimSun" w:hAnsi="Times New Roman" w:cs="Times New Roman"/>
          <w:bCs/>
          <w:kern w:val="1"/>
          <w:sz w:val="24"/>
          <w:szCs w:val="24"/>
          <w:lang w:eastAsia="hi-IN" w:bidi="hi-IN"/>
        </w:rPr>
        <w:t xml:space="preserve"> 37 citations to decisions of foreign national courts, and international courts and treaties.</w:t>
      </w:r>
    </w:p>
    <w:p w14:paraId="2F395B6D" w14:textId="77777777" w:rsidR="00B00BC7" w:rsidRDefault="00B00BC7" w:rsidP="006E7B01">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Despite </w:t>
      </w:r>
      <w:r w:rsidR="0091350D">
        <w:rPr>
          <w:rFonts w:ascii="Times New Roman" w:eastAsia="SimSun" w:hAnsi="Times New Roman" w:cs="Times New Roman"/>
          <w:bCs/>
          <w:kern w:val="1"/>
          <w:sz w:val="24"/>
          <w:szCs w:val="24"/>
          <w:lang w:eastAsia="hi-IN" w:bidi="hi-IN"/>
        </w:rPr>
        <w:t>above indications</w:t>
      </w:r>
      <w:r>
        <w:rPr>
          <w:rFonts w:ascii="Times New Roman" w:eastAsia="SimSun" w:hAnsi="Times New Roman" w:cs="Times New Roman"/>
          <w:bCs/>
          <w:kern w:val="1"/>
          <w:sz w:val="24"/>
          <w:szCs w:val="24"/>
          <w:lang w:eastAsia="hi-IN" w:bidi="hi-IN"/>
        </w:rPr>
        <w:t xml:space="preserve"> that lawyers and interest groups </w:t>
      </w:r>
      <w:r w:rsidR="0091350D">
        <w:rPr>
          <w:rFonts w:ascii="Times New Roman" w:eastAsia="SimSun" w:hAnsi="Times New Roman" w:cs="Times New Roman"/>
          <w:bCs/>
          <w:kern w:val="1"/>
          <w:sz w:val="24"/>
          <w:szCs w:val="24"/>
          <w:lang w:eastAsia="hi-IN" w:bidi="hi-IN"/>
        </w:rPr>
        <w:t xml:space="preserve">do </w:t>
      </w:r>
      <w:r>
        <w:rPr>
          <w:rFonts w:ascii="Times New Roman" w:eastAsia="SimSun" w:hAnsi="Times New Roman" w:cs="Times New Roman"/>
          <w:bCs/>
          <w:kern w:val="1"/>
          <w:sz w:val="24"/>
          <w:szCs w:val="24"/>
          <w:lang w:eastAsia="hi-IN" w:bidi="hi-IN"/>
        </w:rPr>
        <w:t xml:space="preserve">play a role in cases when courts engage in transnational communication, the judicial globalization literature, at least in the United States, has mostly focused on the role that Justices of the U.S. Supreme Court play in global judicial dialogue. Research on the influence of briefs on judicial behavior, however, </w:t>
      </w:r>
      <w:r>
        <w:rPr>
          <w:rFonts w:ascii="Times New Roman" w:eastAsia="SimSun" w:hAnsi="Times New Roman" w:cs="Times New Roman"/>
          <w:bCs/>
          <w:kern w:val="1"/>
          <w:sz w:val="24"/>
          <w:szCs w:val="24"/>
          <w:lang w:eastAsia="hi-IN" w:bidi="hi-IN"/>
        </w:rPr>
        <w:lastRenderedPageBreak/>
        <w:t>suggests tha</w:t>
      </w:r>
      <w:r w:rsidR="0091350D">
        <w:rPr>
          <w:rFonts w:ascii="Times New Roman" w:eastAsia="SimSun" w:hAnsi="Times New Roman" w:cs="Times New Roman"/>
          <w:bCs/>
          <w:kern w:val="1"/>
          <w:sz w:val="24"/>
          <w:szCs w:val="24"/>
          <w:lang w:eastAsia="hi-IN" w:bidi="hi-IN"/>
        </w:rPr>
        <w:t>t by ignoring actors such as lawyers and</w:t>
      </w:r>
      <w:r>
        <w:rPr>
          <w:rFonts w:ascii="Times New Roman" w:eastAsia="SimSun" w:hAnsi="Times New Roman" w:cs="Times New Roman"/>
          <w:bCs/>
          <w:kern w:val="1"/>
          <w:sz w:val="24"/>
          <w:szCs w:val="24"/>
          <w:lang w:eastAsia="hi-IN" w:bidi="hi-IN"/>
        </w:rPr>
        <w:t xml:space="preserve"> amici, we might be missing an important aspect of judicial globalization.</w:t>
      </w:r>
    </w:p>
    <w:p w14:paraId="467540D6" w14:textId="77777777" w:rsidR="00B00BC7" w:rsidRDefault="00B00BC7" w:rsidP="006E7B01">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In this study, I bridge the judicial globalization and American judicial behavior literatures, </w:t>
      </w:r>
      <w:proofErr w:type="gramStart"/>
      <w:r>
        <w:rPr>
          <w:rFonts w:ascii="Times New Roman" w:eastAsia="SimSun" w:hAnsi="Times New Roman" w:cs="Times New Roman"/>
          <w:bCs/>
          <w:kern w:val="1"/>
          <w:sz w:val="24"/>
          <w:szCs w:val="24"/>
          <w:lang w:eastAsia="hi-IN" w:bidi="hi-IN"/>
        </w:rPr>
        <w:t>so as to</w:t>
      </w:r>
      <w:proofErr w:type="gramEnd"/>
      <w:r>
        <w:rPr>
          <w:rFonts w:ascii="Times New Roman" w:eastAsia="SimSun" w:hAnsi="Times New Roman" w:cs="Times New Roman"/>
          <w:bCs/>
          <w:kern w:val="1"/>
          <w:sz w:val="24"/>
          <w:szCs w:val="24"/>
          <w:lang w:eastAsia="hi-IN" w:bidi="hi-IN"/>
        </w:rPr>
        <w:t xml:space="preserve"> assess whether global judicial dialogue is a process solely driven from above, or if lawyers and interest groups are also essential participants. I argue that amici and parties’ briefs provide the Justices of the Supreme Court with important information regarding developments in foreign and internatio</w:t>
      </w:r>
      <w:r w:rsidR="0091350D">
        <w:rPr>
          <w:rFonts w:ascii="Times New Roman" w:eastAsia="SimSun" w:hAnsi="Times New Roman" w:cs="Times New Roman"/>
          <w:bCs/>
          <w:kern w:val="1"/>
          <w:sz w:val="24"/>
          <w:szCs w:val="24"/>
          <w:lang w:eastAsia="hi-IN" w:bidi="hi-IN"/>
        </w:rPr>
        <w:t>nal law and their relevance to the</w:t>
      </w:r>
      <w:r>
        <w:rPr>
          <w:rFonts w:ascii="Times New Roman" w:eastAsia="SimSun" w:hAnsi="Times New Roman" w:cs="Times New Roman"/>
          <w:bCs/>
          <w:kern w:val="1"/>
          <w:sz w:val="24"/>
          <w:szCs w:val="24"/>
          <w:lang w:eastAsia="hi-IN" w:bidi="hi-IN"/>
        </w:rPr>
        <w:t xml:space="preserve"> case</w:t>
      </w:r>
      <w:r w:rsidR="0091350D">
        <w:rPr>
          <w:rFonts w:ascii="Times New Roman" w:eastAsia="SimSun" w:hAnsi="Times New Roman" w:cs="Times New Roman"/>
          <w:bCs/>
          <w:kern w:val="1"/>
          <w:sz w:val="24"/>
          <w:szCs w:val="24"/>
          <w:lang w:eastAsia="hi-IN" w:bidi="hi-IN"/>
        </w:rPr>
        <w:t>s</w:t>
      </w:r>
      <w:r>
        <w:rPr>
          <w:rFonts w:ascii="Times New Roman" w:eastAsia="SimSun" w:hAnsi="Times New Roman" w:cs="Times New Roman"/>
          <w:bCs/>
          <w:kern w:val="1"/>
          <w:sz w:val="24"/>
          <w:szCs w:val="24"/>
          <w:lang w:eastAsia="hi-IN" w:bidi="hi-IN"/>
        </w:rPr>
        <w:t xml:space="preserve"> under consideration. This, in turn, gives Justices who are amenable to transnational communication the opportunity to include such citations in their written opinions. </w:t>
      </w:r>
    </w:p>
    <w:p w14:paraId="1B451C39" w14:textId="560BB9A3" w:rsidR="006E7B01" w:rsidRDefault="00B00BC7" w:rsidP="006E7B01">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To test this argument, I constructed an original dataset of foreign and international law citations </w:t>
      </w:r>
      <w:r w:rsidR="0091350D">
        <w:rPr>
          <w:rFonts w:ascii="Times New Roman" w:eastAsia="SimSun" w:hAnsi="Times New Roman" w:cs="Times New Roman"/>
          <w:bCs/>
          <w:kern w:val="1"/>
          <w:sz w:val="24"/>
          <w:szCs w:val="24"/>
          <w:lang w:eastAsia="hi-IN" w:bidi="hi-IN"/>
        </w:rPr>
        <w:t xml:space="preserve">found </w:t>
      </w:r>
      <w:r>
        <w:rPr>
          <w:rFonts w:ascii="Times New Roman" w:eastAsia="SimSun" w:hAnsi="Times New Roman" w:cs="Times New Roman"/>
          <w:bCs/>
          <w:kern w:val="1"/>
          <w:sz w:val="24"/>
          <w:szCs w:val="24"/>
          <w:lang w:eastAsia="hi-IN" w:bidi="hi-IN"/>
        </w:rPr>
        <w:t xml:space="preserve">in parties’ and amici briefs, as well as of transnational citations in Supreme Court opinions, from 1989 to 2015. The analysis of the data indicates that Supreme Court Justices are more likely to engage in transnational communication when provided with relevant arguments in the briefs of a case. The findings of this study illustrate the importance of actors other than the judiciary in the promotion of a global judicial </w:t>
      </w:r>
      <w:proofErr w:type="gramStart"/>
      <w:r>
        <w:rPr>
          <w:rFonts w:ascii="Times New Roman" w:eastAsia="SimSun" w:hAnsi="Times New Roman" w:cs="Times New Roman"/>
          <w:bCs/>
          <w:kern w:val="1"/>
          <w:sz w:val="24"/>
          <w:szCs w:val="24"/>
          <w:lang w:eastAsia="hi-IN" w:bidi="hi-IN"/>
        </w:rPr>
        <w:t>structure, and</w:t>
      </w:r>
      <w:proofErr w:type="gramEnd"/>
      <w:r>
        <w:rPr>
          <w:rFonts w:ascii="Times New Roman" w:eastAsia="SimSun" w:hAnsi="Times New Roman" w:cs="Times New Roman"/>
          <w:bCs/>
          <w:kern w:val="1"/>
          <w:sz w:val="24"/>
          <w:szCs w:val="24"/>
          <w:lang w:eastAsia="hi-IN" w:bidi="hi-IN"/>
        </w:rPr>
        <w:t xml:space="preserve"> provide support to previous findings regarding the effect of briefs in the process of judicial decision-making.</w:t>
      </w:r>
    </w:p>
    <w:p w14:paraId="1ADD94C8" w14:textId="77777777" w:rsidR="00C02057" w:rsidRDefault="00C02057" w:rsidP="006E7B01">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p>
    <w:p w14:paraId="45587F50" w14:textId="77777777" w:rsidR="00B00BC7" w:rsidRDefault="00B00BC7" w:rsidP="00B00BC7">
      <w:pPr>
        <w:widowControl w:val="0"/>
        <w:suppressAutoHyphens/>
        <w:spacing w:after="0" w:line="480" w:lineRule="auto"/>
        <w:rPr>
          <w:rFonts w:ascii="Times New Roman" w:eastAsia="SimSun" w:hAnsi="Times New Roman" w:cs="Times New Roman"/>
          <w:b/>
          <w:bCs/>
          <w:kern w:val="1"/>
          <w:sz w:val="24"/>
          <w:szCs w:val="24"/>
          <w:lang w:eastAsia="hi-IN" w:bidi="hi-IN"/>
        </w:rPr>
      </w:pPr>
      <w:r>
        <w:rPr>
          <w:rFonts w:ascii="Times New Roman" w:eastAsia="SimSun" w:hAnsi="Times New Roman" w:cs="Times New Roman"/>
          <w:b/>
          <w:bCs/>
          <w:kern w:val="1"/>
          <w:sz w:val="24"/>
          <w:szCs w:val="24"/>
          <w:lang w:eastAsia="hi-IN" w:bidi="hi-IN"/>
        </w:rPr>
        <w:t>Judicial Globalization from Below</w:t>
      </w:r>
    </w:p>
    <w:p w14:paraId="6F18FA46" w14:textId="77777777" w:rsidR="00A7556F" w:rsidRDefault="00A7556F" w:rsidP="00B00BC7">
      <w:pPr>
        <w:widowControl w:val="0"/>
        <w:suppressAutoHyphens/>
        <w:spacing w:after="0" w:line="480" w:lineRule="auto"/>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The steady increase of the national courts’ reliance on foreign and international law citations in their opinions, labeled “transnational communication”, has established domestic judges as significant, independent actors in the international environment (</w:t>
      </w:r>
      <w:r w:rsidR="0091350D">
        <w:rPr>
          <w:rFonts w:ascii="Times New Roman" w:eastAsia="SimSun" w:hAnsi="Times New Roman" w:cs="Times New Roman"/>
          <w:bCs/>
          <w:kern w:val="1"/>
          <w:sz w:val="24"/>
          <w:szCs w:val="24"/>
          <w:lang w:eastAsia="hi-IN" w:bidi="hi-IN"/>
        </w:rPr>
        <w:t>Slaughter 1994). As part of the</w:t>
      </w:r>
      <w:r>
        <w:rPr>
          <w:rFonts w:ascii="Times New Roman" w:eastAsia="SimSun" w:hAnsi="Times New Roman" w:cs="Times New Roman"/>
          <w:bCs/>
          <w:kern w:val="1"/>
          <w:sz w:val="24"/>
          <w:szCs w:val="24"/>
          <w:lang w:eastAsia="hi-IN" w:bidi="hi-IN"/>
        </w:rPr>
        <w:t xml:space="preserve"> process of judicial globalization, judges travel abroad, participate in international conferences, meet with their colleagues, and through this direct communication, they gather information about </w:t>
      </w:r>
      <w:r>
        <w:rPr>
          <w:rFonts w:ascii="Times New Roman" w:eastAsia="SimSun" w:hAnsi="Times New Roman" w:cs="Times New Roman"/>
          <w:bCs/>
          <w:kern w:val="1"/>
          <w:sz w:val="24"/>
          <w:szCs w:val="24"/>
          <w:lang w:eastAsia="hi-IN" w:bidi="hi-IN"/>
        </w:rPr>
        <w:lastRenderedPageBreak/>
        <w:t>legal developments across borders (Slaughter 2004).</w:t>
      </w:r>
    </w:p>
    <w:p w14:paraId="2C4643F2" w14:textId="77777777" w:rsidR="00BF7C83" w:rsidRDefault="00A7556F"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Times New Roman"/>
          <w:bCs/>
          <w:kern w:val="1"/>
          <w:sz w:val="24"/>
          <w:szCs w:val="24"/>
          <w:lang w:eastAsia="hi-IN" w:bidi="hi-IN"/>
        </w:rPr>
        <w:t xml:space="preserve">Apart from this direct learning process, advancements in technology are also suggested to be facilitating transnational communication among judges. Court opinions from all over the world are now translated in English and published online, making it easier for judges to consult foreign sources in the process of deciding a case (Slaughter 2004). These developments, according to the judicial globalization literature, have made domestic </w:t>
      </w:r>
      <w:proofErr w:type="gramStart"/>
      <w:r>
        <w:rPr>
          <w:rFonts w:ascii="Times New Roman" w:eastAsia="SimSun" w:hAnsi="Times New Roman" w:cs="Times New Roman"/>
          <w:bCs/>
          <w:kern w:val="1"/>
          <w:sz w:val="24"/>
          <w:szCs w:val="24"/>
          <w:lang w:eastAsia="hi-IN" w:bidi="hi-IN"/>
        </w:rPr>
        <w:t>judges</w:t>
      </w:r>
      <w:proofErr w:type="gramEnd"/>
      <w:r>
        <w:rPr>
          <w:rFonts w:ascii="Times New Roman" w:eastAsia="SimSun" w:hAnsi="Times New Roman" w:cs="Times New Roman"/>
          <w:bCs/>
          <w:kern w:val="1"/>
          <w:sz w:val="24"/>
          <w:szCs w:val="24"/>
          <w:lang w:eastAsia="hi-IN" w:bidi="hi-IN"/>
        </w:rPr>
        <w:t xml:space="preserve"> significant actors in the establishment and enforcement of international law domestically</w:t>
      </w:r>
      <w:r w:rsidR="00BF7C83">
        <w:rPr>
          <w:rFonts w:ascii="Times New Roman" w:eastAsia="SimSun" w:hAnsi="Times New Roman" w:cs="Times New Roman"/>
          <w:bCs/>
          <w:kern w:val="1"/>
          <w:sz w:val="24"/>
          <w:szCs w:val="24"/>
          <w:lang w:eastAsia="hi-IN" w:bidi="hi-IN"/>
        </w:rPr>
        <w:t>, especially when it comes to the effective enforcement of international human rights</w:t>
      </w:r>
      <w:r>
        <w:rPr>
          <w:rFonts w:ascii="Times New Roman" w:eastAsia="SimSun" w:hAnsi="Times New Roman" w:cs="Times New Roman"/>
          <w:bCs/>
          <w:kern w:val="1"/>
          <w:sz w:val="24"/>
          <w:szCs w:val="24"/>
          <w:lang w:eastAsia="hi-IN" w:bidi="hi-IN"/>
        </w:rPr>
        <w:t xml:space="preserve"> </w:t>
      </w:r>
      <w:r>
        <w:rPr>
          <w:rFonts w:ascii="Times New Roman" w:eastAsia="SimSun" w:hAnsi="Times New Roman" w:cs="Mangal"/>
          <w:kern w:val="1"/>
          <w:sz w:val="24"/>
          <w:szCs w:val="24"/>
          <w:lang w:eastAsia="hi-IN" w:bidi="hi-IN"/>
        </w:rPr>
        <w:t xml:space="preserve">(Diel, Ku, and Zamora 2003, 50; Waters 2007, </w:t>
      </w:r>
      <w:r w:rsidRPr="009E2976">
        <w:rPr>
          <w:rFonts w:ascii="Times New Roman" w:eastAsia="SimSun" w:hAnsi="Times New Roman" w:cs="Mangal"/>
          <w:kern w:val="1"/>
          <w:sz w:val="24"/>
          <w:szCs w:val="24"/>
          <w:lang w:eastAsia="hi-IN" w:bidi="hi-IN"/>
        </w:rPr>
        <w:t>633)</w:t>
      </w:r>
      <w:r w:rsidR="00BF7C83">
        <w:rPr>
          <w:rFonts w:ascii="Times New Roman" w:eastAsia="SimSun" w:hAnsi="Times New Roman" w:cs="Mangal"/>
          <w:kern w:val="1"/>
          <w:sz w:val="24"/>
          <w:szCs w:val="24"/>
          <w:lang w:eastAsia="hi-IN" w:bidi="hi-IN"/>
        </w:rPr>
        <w:t xml:space="preserve">. </w:t>
      </w:r>
    </w:p>
    <w:p w14:paraId="1EA95FC7" w14:textId="77777777" w:rsidR="00BF7C83" w:rsidRDefault="00953E31"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Considering the literature’s focus on the judge as an individual with cosmopolitan preferenc</w:t>
      </w:r>
      <w:r w:rsidR="0091350D">
        <w:rPr>
          <w:rFonts w:ascii="Times New Roman" w:eastAsia="SimSun" w:hAnsi="Times New Roman" w:cs="Mangal"/>
          <w:kern w:val="1"/>
          <w:sz w:val="24"/>
          <w:szCs w:val="24"/>
          <w:lang w:eastAsia="hi-IN" w:bidi="hi-IN"/>
        </w:rPr>
        <w:t>es (Breyer 2015), it is probably</w:t>
      </w:r>
      <w:r>
        <w:rPr>
          <w:rFonts w:ascii="Times New Roman" w:eastAsia="SimSun" w:hAnsi="Times New Roman" w:cs="Mangal"/>
          <w:kern w:val="1"/>
          <w:sz w:val="24"/>
          <w:szCs w:val="24"/>
          <w:lang w:eastAsia="hi-IN" w:bidi="hi-IN"/>
        </w:rPr>
        <w:t xml:space="preserve"> unsurprising that the few studies that move beyond a normative discussion of the phenomenon in the United States choose to pay attention to the ways judges utilize transnational sources. Even in this aspect, research has reached contradi</w:t>
      </w:r>
      <w:r w:rsidR="00FF6B8F">
        <w:rPr>
          <w:rFonts w:ascii="Times New Roman" w:eastAsia="SimSun" w:hAnsi="Times New Roman" w:cs="Mangal"/>
          <w:kern w:val="1"/>
          <w:sz w:val="24"/>
          <w:szCs w:val="24"/>
          <w:lang w:eastAsia="hi-IN" w:bidi="hi-IN"/>
        </w:rPr>
        <w:t xml:space="preserve">ctory conclusions, since on </w:t>
      </w:r>
      <w:r>
        <w:rPr>
          <w:rFonts w:ascii="Times New Roman" w:eastAsia="SimSun" w:hAnsi="Times New Roman" w:cs="Mangal"/>
          <w:kern w:val="1"/>
          <w:sz w:val="24"/>
          <w:szCs w:val="24"/>
          <w:lang w:eastAsia="hi-IN" w:bidi="hi-IN"/>
        </w:rPr>
        <w:t xml:space="preserve">one hand, Supreme Court Justices appear to engage in this behavior strategically, </w:t>
      </w:r>
      <w:proofErr w:type="gramStart"/>
      <w:r>
        <w:rPr>
          <w:rFonts w:ascii="Times New Roman" w:eastAsia="SimSun" w:hAnsi="Times New Roman" w:cs="Mangal"/>
          <w:kern w:val="1"/>
          <w:sz w:val="24"/>
          <w:szCs w:val="24"/>
          <w:lang w:eastAsia="hi-IN" w:bidi="hi-IN"/>
        </w:rPr>
        <w:t>so as to</w:t>
      </w:r>
      <w:proofErr w:type="gramEnd"/>
      <w:r>
        <w:rPr>
          <w:rFonts w:ascii="Times New Roman" w:eastAsia="SimSun" w:hAnsi="Times New Roman" w:cs="Mangal"/>
          <w:kern w:val="1"/>
          <w:sz w:val="24"/>
          <w:szCs w:val="24"/>
          <w:lang w:eastAsia="hi-IN" w:bidi="hi-IN"/>
        </w:rPr>
        <w:t xml:space="preserve"> increase the persuasiveness of their decision (Black et al</w:t>
      </w:r>
      <w:r w:rsidR="00FF6B8F">
        <w:rPr>
          <w:rFonts w:ascii="Times New Roman" w:eastAsia="SimSun" w:hAnsi="Times New Roman" w:cs="Mangal"/>
          <w:kern w:val="1"/>
          <w:sz w:val="24"/>
          <w:szCs w:val="24"/>
          <w:lang w:eastAsia="hi-IN" w:bidi="hi-IN"/>
        </w:rPr>
        <w:t>. 2014), and, on the other</w:t>
      </w:r>
      <w:r>
        <w:rPr>
          <w:rFonts w:ascii="Times New Roman" w:eastAsia="SimSun" w:hAnsi="Times New Roman" w:cs="Mangal"/>
          <w:kern w:val="1"/>
          <w:sz w:val="24"/>
          <w:szCs w:val="24"/>
          <w:lang w:eastAsia="hi-IN" w:bidi="hi-IN"/>
        </w:rPr>
        <w:t xml:space="preserve">, </w:t>
      </w:r>
      <w:r w:rsidR="00FE26D9">
        <w:rPr>
          <w:rFonts w:ascii="Times New Roman" w:eastAsia="SimSun" w:hAnsi="Times New Roman" w:cs="Mangal"/>
          <w:kern w:val="1"/>
          <w:sz w:val="24"/>
          <w:szCs w:val="24"/>
          <w:lang w:eastAsia="hi-IN" w:bidi="hi-IN"/>
        </w:rPr>
        <w:t xml:space="preserve">federal judges are suggested to make a very limited use of </w:t>
      </w:r>
      <w:proofErr w:type="spellStart"/>
      <w:r w:rsidR="00FE26D9">
        <w:rPr>
          <w:rFonts w:ascii="Times New Roman" w:eastAsia="SimSun" w:hAnsi="Times New Roman" w:cs="Mangal"/>
          <w:kern w:val="1"/>
          <w:sz w:val="24"/>
          <w:szCs w:val="24"/>
          <w:lang w:eastAsia="hi-IN" w:bidi="hi-IN"/>
        </w:rPr>
        <w:t>transjudicial</w:t>
      </w:r>
      <w:proofErr w:type="spellEnd"/>
      <w:r w:rsidR="00FE26D9">
        <w:rPr>
          <w:rFonts w:ascii="Times New Roman" w:eastAsia="SimSun" w:hAnsi="Times New Roman" w:cs="Mangal"/>
          <w:kern w:val="1"/>
          <w:sz w:val="24"/>
          <w:szCs w:val="24"/>
          <w:lang w:eastAsia="hi-IN" w:bidi="hi-IN"/>
        </w:rPr>
        <w:t xml:space="preserve"> communication, mostly in cases that already involve foreign law (O’Brian 2006; </w:t>
      </w:r>
      <w:proofErr w:type="spellStart"/>
      <w:r w:rsidR="00FE26D9">
        <w:rPr>
          <w:rFonts w:ascii="Times New Roman" w:eastAsia="SimSun" w:hAnsi="Times New Roman" w:cs="Mangal"/>
          <w:kern w:val="1"/>
          <w:sz w:val="24"/>
          <w:szCs w:val="24"/>
          <w:lang w:eastAsia="hi-IN" w:bidi="hi-IN"/>
        </w:rPr>
        <w:t>Zaring</w:t>
      </w:r>
      <w:proofErr w:type="spellEnd"/>
      <w:r w:rsidR="00FE26D9">
        <w:rPr>
          <w:rFonts w:ascii="Times New Roman" w:eastAsia="SimSun" w:hAnsi="Times New Roman" w:cs="Mangal"/>
          <w:kern w:val="1"/>
          <w:sz w:val="24"/>
          <w:szCs w:val="24"/>
          <w:lang w:eastAsia="hi-IN" w:bidi="hi-IN"/>
        </w:rPr>
        <w:t xml:space="preserve"> 2006). </w:t>
      </w:r>
    </w:p>
    <w:p w14:paraId="62CC05FF" w14:textId="77777777" w:rsidR="00B11FEA" w:rsidRDefault="00FE26D9"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I argue </w:t>
      </w:r>
      <w:proofErr w:type="gramStart"/>
      <w:r>
        <w:rPr>
          <w:rFonts w:ascii="Times New Roman" w:eastAsia="SimSun" w:hAnsi="Times New Roman" w:cs="Mangal"/>
          <w:kern w:val="1"/>
          <w:sz w:val="24"/>
          <w:szCs w:val="24"/>
          <w:lang w:eastAsia="hi-IN" w:bidi="hi-IN"/>
        </w:rPr>
        <w:t>that,</w:t>
      </w:r>
      <w:proofErr w:type="gramEnd"/>
      <w:r>
        <w:rPr>
          <w:rFonts w:ascii="Times New Roman" w:eastAsia="SimSun" w:hAnsi="Times New Roman" w:cs="Mangal"/>
          <w:kern w:val="1"/>
          <w:sz w:val="24"/>
          <w:szCs w:val="24"/>
          <w:lang w:eastAsia="hi-IN" w:bidi="hi-IN"/>
        </w:rPr>
        <w:t xml:space="preserve"> to be able to acquire a more complete understanding of judicial globalization, we should move our focus beyond the judges </w:t>
      </w:r>
      <w:r w:rsidR="00FF6B8F">
        <w:rPr>
          <w:rFonts w:ascii="Times New Roman" w:eastAsia="SimSun" w:hAnsi="Times New Roman" w:cs="Mangal"/>
          <w:kern w:val="1"/>
          <w:sz w:val="24"/>
          <w:szCs w:val="24"/>
          <w:lang w:eastAsia="hi-IN" w:bidi="hi-IN"/>
        </w:rPr>
        <w:t xml:space="preserve">as the sole actors in this dialogue and examine </w:t>
      </w:r>
      <w:r>
        <w:rPr>
          <w:rFonts w:ascii="Times New Roman" w:eastAsia="SimSun" w:hAnsi="Times New Roman" w:cs="Mangal"/>
          <w:kern w:val="1"/>
          <w:sz w:val="24"/>
          <w:szCs w:val="24"/>
          <w:lang w:eastAsia="hi-IN" w:bidi="hi-IN"/>
        </w:rPr>
        <w:t>other actors that potentially affect the proliferation of transnational communication. As research on</w:t>
      </w:r>
      <w:r w:rsidR="00B11FEA">
        <w:rPr>
          <w:rFonts w:ascii="Times New Roman" w:eastAsia="SimSun" w:hAnsi="Times New Roman" w:cs="Mangal"/>
          <w:kern w:val="1"/>
          <w:sz w:val="24"/>
          <w:szCs w:val="24"/>
          <w:lang w:eastAsia="hi-IN" w:bidi="hi-IN"/>
        </w:rPr>
        <w:t xml:space="preserve"> the revolution of rights</w:t>
      </w:r>
      <w:r>
        <w:rPr>
          <w:rFonts w:ascii="Times New Roman" w:eastAsia="SimSun" w:hAnsi="Times New Roman" w:cs="Mangal"/>
          <w:kern w:val="1"/>
          <w:sz w:val="24"/>
          <w:szCs w:val="24"/>
          <w:lang w:eastAsia="hi-IN" w:bidi="hi-IN"/>
        </w:rPr>
        <w:t xml:space="preserve"> has shown, willing judges are not the only necessary condition for the development of domestic law; strategic advocacy pressuring the judiciary from below is also required (Epp 1998). </w:t>
      </w:r>
    </w:p>
    <w:p w14:paraId="480EE406" w14:textId="77777777" w:rsidR="00FE26D9" w:rsidRDefault="00B11FEA"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lastRenderedPageBreak/>
        <w:t>This emphasis on pressures from below is also present in the international environment, where international organizations and transnational activist networks attempt to pressure states to adopt and enforce international norms domestically. In this way, international organizations function as teachers of international norms (</w:t>
      </w:r>
      <w:proofErr w:type="spellStart"/>
      <w:r>
        <w:rPr>
          <w:rFonts w:ascii="Times New Roman" w:eastAsia="SimSun" w:hAnsi="Times New Roman" w:cs="Mangal"/>
          <w:kern w:val="1"/>
          <w:sz w:val="24"/>
          <w:szCs w:val="24"/>
          <w:lang w:eastAsia="hi-IN" w:bidi="hi-IN"/>
        </w:rPr>
        <w:t>Finnemore</w:t>
      </w:r>
      <w:proofErr w:type="spellEnd"/>
      <w:r>
        <w:rPr>
          <w:rFonts w:ascii="Times New Roman" w:eastAsia="SimSun" w:hAnsi="Times New Roman" w:cs="Mangal"/>
          <w:kern w:val="1"/>
          <w:sz w:val="24"/>
          <w:szCs w:val="24"/>
          <w:lang w:eastAsia="hi-IN" w:bidi="hi-IN"/>
        </w:rPr>
        <w:t xml:space="preserve"> 1993; 1996)</w:t>
      </w:r>
      <w:r w:rsidR="002E3298">
        <w:rPr>
          <w:rFonts w:ascii="Times New Roman" w:eastAsia="SimSun" w:hAnsi="Times New Roman" w:cs="Mangal"/>
          <w:kern w:val="1"/>
          <w:sz w:val="24"/>
          <w:szCs w:val="24"/>
          <w:lang w:eastAsia="hi-IN" w:bidi="hi-IN"/>
        </w:rPr>
        <w:t>, and transnational and activist networks push for their internalization (</w:t>
      </w:r>
      <w:r w:rsidR="009D31AF">
        <w:rPr>
          <w:rFonts w:ascii="Times New Roman" w:eastAsia="SimSun" w:hAnsi="Times New Roman" w:cs="Mangal"/>
          <w:kern w:val="1"/>
          <w:sz w:val="24"/>
          <w:szCs w:val="24"/>
          <w:lang w:eastAsia="hi-IN" w:bidi="hi-IN"/>
        </w:rPr>
        <w:t xml:space="preserve">Keck and </w:t>
      </w:r>
      <w:proofErr w:type="spellStart"/>
      <w:r w:rsidR="009D31AF">
        <w:rPr>
          <w:rFonts w:ascii="Times New Roman" w:eastAsia="SimSun" w:hAnsi="Times New Roman" w:cs="Mangal"/>
          <w:kern w:val="1"/>
          <w:sz w:val="24"/>
          <w:szCs w:val="24"/>
          <w:lang w:eastAsia="hi-IN" w:bidi="hi-IN"/>
        </w:rPr>
        <w:t>Sikkink</w:t>
      </w:r>
      <w:proofErr w:type="spellEnd"/>
      <w:r w:rsidR="009D31AF">
        <w:rPr>
          <w:rFonts w:ascii="Times New Roman" w:eastAsia="SimSun" w:hAnsi="Times New Roman" w:cs="Mangal"/>
          <w:kern w:val="1"/>
          <w:sz w:val="24"/>
          <w:szCs w:val="24"/>
          <w:lang w:eastAsia="hi-IN" w:bidi="hi-IN"/>
        </w:rPr>
        <w:t xml:space="preserve"> 1998; </w:t>
      </w:r>
      <w:proofErr w:type="spellStart"/>
      <w:r w:rsidR="009D31AF">
        <w:rPr>
          <w:rFonts w:ascii="Times New Roman" w:eastAsia="SimSun" w:hAnsi="Times New Roman" w:cs="Mangal"/>
          <w:kern w:val="1"/>
          <w:sz w:val="24"/>
          <w:szCs w:val="24"/>
          <w:lang w:eastAsia="hi-IN" w:bidi="hi-IN"/>
        </w:rPr>
        <w:t>Risse</w:t>
      </w:r>
      <w:proofErr w:type="spellEnd"/>
      <w:r w:rsidR="009D31AF">
        <w:rPr>
          <w:rFonts w:ascii="Times New Roman" w:eastAsia="SimSun" w:hAnsi="Times New Roman" w:cs="Mangal"/>
          <w:kern w:val="1"/>
          <w:sz w:val="24"/>
          <w:szCs w:val="24"/>
          <w:lang w:eastAsia="hi-IN" w:bidi="hi-IN"/>
        </w:rPr>
        <w:t xml:space="preserve">-Kappen, </w:t>
      </w:r>
      <w:proofErr w:type="spellStart"/>
      <w:r w:rsidR="009D31AF">
        <w:rPr>
          <w:rFonts w:ascii="Times New Roman" w:eastAsia="SimSun" w:hAnsi="Times New Roman" w:cs="Mangal"/>
          <w:kern w:val="1"/>
          <w:sz w:val="24"/>
          <w:szCs w:val="24"/>
          <w:lang w:eastAsia="hi-IN" w:bidi="hi-IN"/>
        </w:rPr>
        <w:t>Ropp</w:t>
      </w:r>
      <w:proofErr w:type="spellEnd"/>
      <w:r w:rsidR="009D31AF">
        <w:rPr>
          <w:rFonts w:ascii="Times New Roman" w:eastAsia="SimSun" w:hAnsi="Times New Roman" w:cs="Mangal"/>
          <w:kern w:val="1"/>
          <w:sz w:val="24"/>
          <w:szCs w:val="24"/>
          <w:lang w:eastAsia="hi-IN" w:bidi="hi-IN"/>
        </w:rPr>
        <w:t xml:space="preserve">, and </w:t>
      </w:r>
      <w:proofErr w:type="spellStart"/>
      <w:r w:rsidR="009D31AF">
        <w:rPr>
          <w:rFonts w:ascii="Times New Roman" w:eastAsia="SimSun" w:hAnsi="Times New Roman" w:cs="Mangal"/>
          <w:kern w:val="1"/>
          <w:sz w:val="24"/>
          <w:szCs w:val="24"/>
          <w:lang w:eastAsia="hi-IN" w:bidi="hi-IN"/>
        </w:rPr>
        <w:t>Sikkink</w:t>
      </w:r>
      <w:proofErr w:type="spellEnd"/>
      <w:r w:rsidR="009D31AF">
        <w:rPr>
          <w:rFonts w:ascii="Times New Roman" w:eastAsia="SimSun" w:hAnsi="Times New Roman" w:cs="Mangal"/>
          <w:kern w:val="1"/>
          <w:sz w:val="24"/>
          <w:szCs w:val="24"/>
          <w:lang w:eastAsia="hi-IN" w:bidi="hi-IN"/>
        </w:rPr>
        <w:t xml:space="preserve"> 1999). This “transnational civil society”,</w:t>
      </w:r>
      <w:r w:rsidR="00FF6B8F">
        <w:rPr>
          <w:rFonts w:ascii="Times New Roman" w:eastAsia="SimSun" w:hAnsi="Times New Roman" w:cs="Mangal"/>
          <w:kern w:val="1"/>
          <w:sz w:val="24"/>
          <w:szCs w:val="24"/>
          <w:lang w:eastAsia="hi-IN" w:bidi="hi-IN"/>
        </w:rPr>
        <w:t xml:space="preserve"> in many ways </w:t>
      </w:r>
      <w:proofErr w:type="gramStart"/>
      <w:r w:rsidR="00FF6B8F">
        <w:rPr>
          <w:rFonts w:ascii="Times New Roman" w:eastAsia="SimSun" w:hAnsi="Times New Roman" w:cs="Mangal"/>
          <w:kern w:val="1"/>
          <w:sz w:val="24"/>
          <w:szCs w:val="24"/>
          <w:lang w:eastAsia="hi-IN" w:bidi="hi-IN"/>
        </w:rPr>
        <w:t>similar to</w:t>
      </w:r>
      <w:proofErr w:type="gramEnd"/>
      <w:r w:rsidR="00FF6B8F">
        <w:rPr>
          <w:rFonts w:ascii="Times New Roman" w:eastAsia="SimSun" w:hAnsi="Times New Roman" w:cs="Mangal"/>
          <w:kern w:val="1"/>
          <w:sz w:val="24"/>
          <w:szCs w:val="24"/>
          <w:lang w:eastAsia="hi-IN" w:bidi="hi-IN"/>
        </w:rPr>
        <w:t xml:space="preserve"> the</w:t>
      </w:r>
      <w:r w:rsidR="009D31AF">
        <w:rPr>
          <w:rFonts w:ascii="Times New Roman" w:eastAsia="SimSun" w:hAnsi="Times New Roman" w:cs="Mangal"/>
          <w:kern w:val="1"/>
          <w:sz w:val="24"/>
          <w:szCs w:val="24"/>
          <w:lang w:eastAsia="hi-IN" w:bidi="hi-IN"/>
        </w:rPr>
        <w:t xml:space="preserve"> existing </w:t>
      </w:r>
      <w:r w:rsidR="00FF6B8F">
        <w:rPr>
          <w:rFonts w:ascii="Times New Roman" w:eastAsia="SimSun" w:hAnsi="Times New Roman" w:cs="Mangal"/>
          <w:kern w:val="1"/>
          <w:sz w:val="24"/>
          <w:szCs w:val="24"/>
          <w:lang w:eastAsia="hi-IN" w:bidi="hi-IN"/>
        </w:rPr>
        <w:t xml:space="preserve">one </w:t>
      </w:r>
      <w:r w:rsidR="009D31AF">
        <w:rPr>
          <w:rFonts w:ascii="Times New Roman" w:eastAsia="SimSun" w:hAnsi="Times New Roman" w:cs="Mangal"/>
          <w:kern w:val="1"/>
          <w:sz w:val="24"/>
          <w:szCs w:val="24"/>
          <w:lang w:eastAsia="hi-IN" w:bidi="hi-IN"/>
        </w:rPr>
        <w:t>in the United States in the e</w:t>
      </w:r>
      <w:r w:rsidR="00BD0188">
        <w:rPr>
          <w:rFonts w:ascii="Times New Roman" w:eastAsia="SimSun" w:hAnsi="Times New Roman" w:cs="Mangal"/>
          <w:kern w:val="1"/>
          <w:sz w:val="24"/>
          <w:szCs w:val="24"/>
          <w:lang w:eastAsia="hi-IN" w:bidi="hi-IN"/>
        </w:rPr>
        <w:t>ra following</w:t>
      </w:r>
      <w:r w:rsidR="009D31AF">
        <w:rPr>
          <w:rFonts w:ascii="Times New Roman" w:eastAsia="SimSun" w:hAnsi="Times New Roman" w:cs="Mangal"/>
          <w:kern w:val="1"/>
          <w:sz w:val="24"/>
          <w:szCs w:val="24"/>
          <w:lang w:eastAsia="hi-IN" w:bidi="hi-IN"/>
        </w:rPr>
        <w:t xml:space="preserve"> </w:t>
      </w:r>
      <w:r w:rsidR="009D31AF">
        <w:rPr>
          <w:rFonts w:ascii="Times New Roman" w:eastAsia="SimSun" w:hAnsi="Times New Roman" w:cs="Mangal"/>
          <w:i/>
          <w:kern w:val="1"/>
          <w:sz w:val="24"/>
          <w:szCs w:val="24"/>
          <w:lang w:eastAsia="hi-IN" w:bidi="hi-IN"/>
        </w:rPr>
        <w:t xml:space="preserve">Brown </w:t>
      </w:r>
      <w:r w:rsidR="009D31AF">
        <w:rPr>
          <w:rFonts w:ascii="Times New Roman" w:eastAsia="SimSun" w:hAnsi="Times New Roman" w:cs="Mangal"/>
          <w:kern w:val="1"/>
          <w:sz w:val="24"/>
          <w:szCs w:val="24"/>
          <w:lang w:eastAsia="hi-IN" w:bidi="hi-IN"/>
        </w:rPr>
        <w:t xml:space="preserve">v. </w:t>
      </w:r>
      <w:r w:rsidR="009D31AF">
        <w:rPr>
          <w:rFonts w:ascii="Times New Roman" w:eastAsia="SimSun" w:hAnsi="Times New Roman" w:cs="Mangal"/>
          <w:i/>
          <w:kern w:val="1"/>
          <w:sz w:val="24"/>
          <w:szCs w:val="24"/>
          <w:lang w:eastAsia="hi-IN" w:bidi="hi-IN"/>
        </w:rPr>
        <w:t>Board of Education</w:t>
      </w:r>
      <w:r w:rsidR="00BD0188">
        <w:rPr>
          <w:rFonts w:ascii="Times New Roman" w:eastAsia="SimSun" w:hAnsi="Times New Roman" w:cs="Mangal"/>
          <w:kern w:val="1"/>
          <w:sz w:val="24"/>
          <w:szCs w:val="24"/>
          <w:lang w:eastAsia="hi-IN" w:bidi="hi-IN"/>
        </w:rPr>
        <w:t>, is suggested to have helped judges around the world acquire the status of independent actors in the international system (</w:t>
      </w:r>
      <w:proofErr w:type="spellStart"/>
      <w:r w:rsidR="00BD0188">
        <w:rPr>
          <w:rFonts w:ascii="Times New Roman" w:eastAsia="SimSun" w:hAnsi="Times New Roman" w:cs="Mangal"/>
          <w:kern w:val="1"/>
          <w:sz w:val="24"/>
          <w:szCs w:val="24"/>
          <w:lang w:eastAsia="hi-IN" w:bidi="hi-IN"/>
        </w:rPr>
        <w:t>Kersch</w:t>
      </w:r>
      <w:proofErr w:type="spellEnd"/>
      <w:r w:rsidR="00BD0188">
        <w:rPr>
          <w:rFonts w:ascii="Times New Roman" w:eastAsia="SimSun" w:hAnsi="Times New Roman" w:cs="Mangal"/>
          <w:kern w:val="1"/>
          <w:sz w:val="24"/>
          <w:szCs w:val="24"/>
          <w:lang w:eastAsia="hi-IN" w:bidi="hi-IN"/>
        </w:rPr>
        <w:t xml:space="preserve"> 2004).</w:t>
      </w:r>
    </w:p>
    <w:p w14:paraId="7E4E9297" w14:textId="77777777" w:rsidR="00F13EA2" w:rsidRDefault="00BD0188"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One way for these groups to internalize foreign and international law through the domestic judiciary is by filing amici briefs that cite foreign and international law, since such briefs give </w:t>
      </w:r>
      <w:r w:rsidR="00D90642">
        <w:rPr>
          <w:rFonts w:ascii="Times New Roman" w:eastAsia="SimSun" w:hAnsi="Times New Roman" w:cs="Mangal"/>
          <w:kern w:val="1"/>
          <w:sz w:val="24"/>
          <w:szCs w:val="24"/>
          <w:lang w:eastAsia="hi-IN" w:bidi="hi-IN"/>
        </w:rPr>
        <w:t xml:space="preserve">groups the opportunity to communicate to judges what they think the interpretation of a law should be (Collins, Corley, and </w:t>
      </w:r>
      <w:proofErr w:type="spellStart"/>
      <w:r w:rsidR="00D90642">
        <w:rPr>
          <w:rFonts w:ascii="Times New Roman" w:eastAsia="SimSun" w:hAnsi="Times New Roman" w:cs="Mangal"/>
          <w:kern w:val="1"/>
          <w:sz w:val="24"/>
          <w:szCs w:val="24"/>
          <w:lang w:eastAsia="hi-IN" w:bidi="hi-IN"/>
        </w:rPr>
        <w:t>Hamner</w:t>
      </w:r>
      <w:proofErr w:type="spellEnd"/>
      <w:r w:rsidR="00D90642">
        <w:rPr>
          <w:rFonts w:ascii="Times New Roman" w:eastAsia="SimSun" w:hAnsi="Times New Roman" w:cs="Mangal"/>
          <w:kern w:val="1"/>
          <w:sz w:val="24"/>
          <w:szCs w:val="24"/>
          <w:lang w:eastAsia="hi-IN" w:bidi="hi-IN"/>
        </w:rPr>
        <w:t xml:space="preserve"> 2015). </w:t>
      </w:r>
      <w:r w:rsidR="00223F33">
        <w:rPr>
          <w:rFonts w:ascii="Times New Roman" w:eastAsia="SimSun" w:hAnsi="Times New Roman" w:cs="Mangal"/>
          <w:kern w:val="1"/>
          <w:sz w:val="24"/>
          <w:szCs w:val="24"/>
          <w:lang w:eastAsia="hi-IN" w:bidi="hi-IN"/>
        </w:rPr>
        <w:t>Judges, on the other hand, trying to gather as much knowledge as possible regarding the case under deliberation, find amici briefs useful due to</w:t>
      </w:r>
      <w:r w:rsidR="00FF6B8F">
        <w:rPr>
          <w:rFonts w:ascii="Times New Roman" w:eastAsia="SimSun" w:hAnsi="Times New Roman" w:cs="Mangal"/>
          <w:kern w:val="1"/>
          <w:sz w:val="24"/>
          <w:szCs w:val="24"/>
          <w:lang w:eastAsia="hi-IN" w:bidi="hi-IN"/>
        </w:rPr>
        <w:t xml:space="preserve"> the information provided through</w:t>
      </w:r>
      <w:r w:rsidR="00223F33">
        <w:rPr>
          <w:rFonts w:ascii="Times New Roman" w:eastAsia="SimSun" w:hAnsi="Times New Roman" w:cs="Mangal"/>
          <w:kern w:val="1"/>
          <w:sz w:val="24"/>
          <w:szCs w:val="24"/>
          <w:lang w:eastAsia="hi-IN" w:bidi="hi-IN"/>
        </w:rPr>
        <w:t xml:space="preserve"> them (Collins 2008</w:t>
      </w:r>
      <w:r w:rsidR="00B920B3">
        <w:rPr>
          <w:rFonts w:ascii="Times New Roman" w:eastAsia="SimSun" w:hAnsi="Times New Roman" w:cs="Mangal"/>
          <w:kern w:val="1"/>
          <w:sz w:val="24"/>
          <w:szCs w:val="24"/>
          <w:lang w:eastAsia="hi-IN" w:bidi="hi-IN"/>
        </w:rPr>
        <w:t>; Epstein 1993</w:t>
      </w:r>
      <w:r w:rsidR="00223F33">
        <w:rPr>
          <w:rFonts w:ascii="Times New Roman" w:eastAsia="SimSun" w:hAnsi="Times New Roman" w:cs="Mangal"/>
          <w:kern w:val="1"/>
          <w:sz w:val="24"/>
          <w:szCs w:val="24"/>
          <w:lang w:eastAsia="hi-IN" w:bidi="hi-IN"/>
        </w:rPr>
        <w:t xml:space="preserve">). </w:t>
      </w:r>
    </w:p>
    <w:p w14:paraId="275AB7F3" w14:textId="77777777" w:rsidR="00BD0188" w:rsidRDefault="00223F33"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Specifically, amici briefs can include</w:t>
      </w:r>
      <w:r w:rsidR="00FD7C0B">
        <w:rPr>
          <w:rFonts w:ascii="Times New Roman" w:eastAsia="SimSun" w:hAnsi="Times New Roman" w:cs="Mangal"/>
          <w:kern w:val="1"/>
          <w:sz w:val="24"/>
          <w:szCs w:val="24"/>
          <w:lang w:eastAsia="hi-IN" w:bidi="hi-IN"/>
        </w:rPr>
        <w:t xml:space="preserve"> reliable</w:t>
      </w:r>
      <w:r>
        <w:rPr>
          <w:rFonts w:ascii="Times New Roman" w:eastAsia="SimSun" w:hAnsi="Times New Roman" w:cs="Mangal"/>
          <w:kern w:val="1"/>
          <w:sz w:val="24"/>
          <w:szCs w:val="24"/>
          <w:lang w:eastAsia="hi-IN" w:bidi="hi-IN"/>
        </w:rPr>
        <w:t xml:space="preserve"> information regarding the </w:t>
      </w:r>
      <w:r w:rsidR="00D63BFC">
        <w:rPr>
          <w:rFonts w:ascii="Times New Roman" w:eastAsia="SimSun" w:hAnsi="Times New Roman" w:cs="Mangal"/>
          <w:kern w:val="1"/>
          <w:sz w:val="24"/>
          <w:szCs w:val="24"/>
          <w:lang w:eastAsia="hi-IN" w:bidi="hi-IN"/>
        </w:rPr>
        <w:t>wider consequences</w:t>
      </w:r>
      <w:r>
        <w:rPr>
          <w:rFonts w:ascii="Times New Roman" w:eastAsia="SimSun" w:hAnsi="Times New Roman" w:cs="Mangal"/>
          <w:kern w:val="1"/>
          <w:sz w:val="24"/>
          <w:szCs w:val="24"/>
          <w:lang w:eastAsia="hi-IN" w:bidi="hi-IN"/>
        </w:rPr>
        <w:t xml:space="preserve"> of a case outcome</w:t>
      </w:r>
      <w:r w:rsidR="00D63BFC">
        <w:rPr>
          <w:rFonts w:ascii="Times New Roman" w:eastAsia="SimSun" w:hAnsi="Times New Roman" w:cs="Mangal"/>
          <w:kern w:val="1"/>
          <w:sz w:val="24"/>
          <w:szCs w:val="24"/>
          <w:lang w:eastAsia="hi-IN" w:bidi="hi-IN"/>
        </w:rPr>
        <w:t xml:space="preserve"> (</w:t>
      </w:r>
      <w:proofErr w:type="spellStart"/>
      <w:r w:rsidR="00FD7C0B">
        <w:rPr>
          <w:rFonts w:ascii="Times New Roman" w:eastAsia="SimSun" w:hAnsi="Times New Roman" w:cs="Mangal"/>
          <w:kern w:val="1"/>
          <w:sz w:val="24"/>
          <w:szCs w:val="24"/>
          <w:lang w:eastAsia="hi-IN" w:bidi="hi-IN"/>
        </w:rPr>
        <w:t>Caldeira</w:t>
      </w:r>
      <w:proofErr w:type="spellEnd"/>
      <w:r w:rsidR="00FD7C0B">
        <w:rPr>
          <w:rFonts w:ascii="Times New Roman" w:eastAsia="SimSun" w:hAnsi="Times New Roman" w:cs="Mangal"/>
          <w:kern w:val="1"/>
          <w:sz w:val="24"/>
          <w:szCs w:val="24"/>
          <w:lang w:eastAsia="hi-IN" w:bidi="hi-IN"/>
        </w:rPr>
        <w:t xml:space="preserve"> and Wright 1988; </w:t>
      </w:r>
      <w:r w:rsidR="00D63BFC">
        <w:rPr>
          <w:rFonts w:ascii="Times New Roman" w:eastAsia="SimSun" w:hAnsi="Times New Roman" w:cs="Mangal"/>
          <w:kern w:val="1"/>
          <w:sz w:val="24"/>
          <w:szCs w:val="24"/>
          <w:lang w:eastAsia="hi-IN" w:bidi="hi-IN"/>
        </w:rPr>
        <w:t>Collins 2004),</w:t>
      </w:r>
      <w:r w:rsidR="00FD7C0B">
        <w:rPr>
          <w:rFonts w:ascii="Times New Roman" w:eastAsia="SimSun" w:hAnsi="Times New Roman" w:cs="Mangal"/>
          <w:kern w:val="1"/>
          <w:sz w:val="24"/>
          <w:szCs w:val="24"/>
          <w:lang w:eastAsia="hi-IN" w:bidi="hi-IN"/>
        </w:rPr>
        <w:t xml:space="preserve"> as well as</w:t>
      </w:r>
      <w:r w:rsidR="00D63BFC">
        <w:rPr>
          <w:rFonts w:ascii="Times New Roman" w:eastAsia="SimSun" w:hAnsi="Times New Roman" w:cs="Mangal"/>
          <w:kern w:val="1"/>
          <w:sz w:val="24"/>
          <w:szCs w:val="24"/>
          <w:lang w:eastAsia="hi-IN" w:bidi="hi-IN"/>
        </w:rPr>
        <w:t xml:space="preserve"> arguments and authorities missing from the parties’ briefs (Kearney and Merrill 2000</w:t>
      </w:r>
      <w:r w:rsidR="00FD7C0B">
        <w:rPr>
          <w:rFonts w:ascii="Times New Roman" w:eastAsia="SimSun" w:hAnsi="Times New Roman" w:cs="Mangal"/>
          <w:kern w:val="1"/>
          <w:sz w:val="24"/>
          <w:szCs w:val="24"/>
          <w:lang w:eastAsia="hi-IN" w:bidi="hi-IN"/>
        </w:rPr>
        <w:t>; McGuire 1993</w:t>
      </w:r>
      <w:r w:rsidR="00D63BFC">
        <w:rPr>
          <w:rFonts w:ascii="Times New Roman" w:eastAsia="SimSun" w:hAnsi="Times New Roman" w:cs="Mangal"/>
          <w:kern w:val="1"/>
          <w:sz w:val="24"/>
          <w:szCs w:val="24"/>
          <w:lang w:eastAsia="hi-IN" w:bidi="hi-IN"/>
        </w:rPr>
        <w:t>)</w:t>
      </w:r>
      <w:r w:rsidR="00FD7C0B">
        <w:rPr>
          <w:rFonts w:ascii="Times New Roman" w:eastAsia="SimSun" w:hAnsi="Times New Roman" w:cs="Mangal"/>
          <w:kern w:val="1"/>
          <w:sz w:val="24"/>
          <w:szCs w:val="24"/>
          <w:lang w:eastAsia="hi-IN" w:bidi="hi-IN"/>
        </w:rPr>
        <w:t xml:space="preserve">. </w:t>
      </w:r>
      <w:r w:rsidR="00F13EA2">
        <w:rPr>
          <w:rFonts w:ascii="Times New Roman" w:eastAsia="SimSun" w:hAnsi="Times New Roman" w:cs="Mangal"/>
          <w:kern w:val="1"/>
          <w:sz w:val="24"/>
          <w:szCs w:val="24"/>
          <w:lang w:eastAsia="hi-IN" w:bidi="hi-IN"/>
        </w:rPr>
        <w:t xml:space="preserve">These </w:t>
      </w:r>
      <w:proofErr w:type="gramStart"/>
      <w:r w:rsidR="00F13EA2">
        <w:rPr>
          <w:rFonts w:ascii="Times New Roman" w:eastAsia="SimSun" w:hAnsi="Times New Roman" w:cs="Mangal"/>
          <w:kern w:val="1"/>
          <w:sz w:val="24"/>
          <w:szCs w:val="24"/>
          <w:lang w:eastAsia="hi-IN" w:bidi="hi-IN"/>
        </w:rPr>
        <w:t>particular characteristics</w:t>
      </w:r>
      <w:proofErr w:type="gramEnd"/>
      <w:r w:rsidR="00F13EA2">
        <w:rPr>
          <w:rFonts w:ascii="Times New Roman" w:eastAsia="SimSun" w:hAnsi="Times New Roman" w:cs="Mangal"/>
          <w:kern w:val="1"/>
          <w:sz w:val="24"/>
          <w:szCs w:val="24"/>
          <w:lang w:eastAsia="hi-IN" w:bidi="hi-IN"/>
        </w:rPr>
        <w:t xml:space="preserve"> of amici briefs make them an effective tool of influence of Supreme Court Justices, who often adopt the language and authorities included in the briefs (Collins, Corley, and </w:t>
      </w:r>
      <w:proofErr w:type="spellStart"/>
      <w:r w:rsidR="00F13EA2">
        <w:rPr>
          <w:rFonts w:ascii="Times New Roman" w:eastAsia="SimSun" w:hAnsi="Times New Roman" w:cs="Mangal"/>
          <w:kern w:val="1"/>
          <w:sz w:val="24"/>
          <w:szCs w:val="24"/>
          <w:lang w:eastAsia="hi-IN" w:bidi="hi-IN"/>
        </w:rPr>
        <w:t>Hamner</w:t>
      </w:r>
      <w:proofErr w:type="spellEnd"/>
      <w:r w:rsidR="00F13EA2">
        <w:rPr>
          <w:rFonts w:ascii="Times New Roman" w:eastAsia="SimSun" w:hAnsi="Times New Roman" w:cs="Mangal"/>
          <w:kern w:val="1"/>
          <w:sz w:val="24"/>
          <w:szCs w:val="24"/>
          <w:lang w:eastAsia="hi-IN" w:bidi="hi-IN"/>
        </w:rPr>
        <w:t xml:space="preserve"> 2015;</w:t>
      </w:r>
      <w:r w:rsidR="00B920B3">
        <w:rPr>
          <w:rFonts w:ascii="Times New Roman" w:eastAsia="SimSun" w:hAnsi="Times New Roman" w:cs="Mangal"/>
          <w:kern w:val="1"/>
          <w:sz w:val="24"/>
          <w:szCs w:val="24"/>
          <w:lang w:eastAsia="hi-IN" w:bidi="hi-IN"/>
        </w:rPr>
        <w:t xml:space="preserve"> Ennis 1984;</w:t>
      </w:r>
      <w:r w:rsidR="00F13EA2">
        <w:rPr>
          <w:rFonts w:ascii="Times New Roman" w:eastAsia="SimSun" w:hAnsi="Times New Roman" w:cs="Mangal"/>
          <w:kern w:val="1"/>
          <w:sz w:val="24"/>
          <w:szCs w:val="24"/>
          <w:lang w:eastAsia="hi-IN" w:bidi="hi-IN"/>
        </w:rPr>
        <w:t xml:space="preserve"> Epstein and </w:t>
      </w:r>
      <w:proofErr w:type="spellStart"/>
      <w:r w:rsidR="00F13EA2">
        <w:rPr>
          <w:rFonts w:ascii="Times New Roman" w:eastAsia="SimSun" w:hAnsi="Times New Roman" w:cs="Mangal"/>
          <w:kern w:val="1"/>
          <w:sz w:val="24"/>
          <w:szCs w:val="24"/>
          <w:lang w:eastAsia="hi-IN" w:bidi="hi-IN"/>
        </w:rPr>
        <w:t>Kobylka</w:t>
      </w:r>
      <w:proofErr w:type="spellEnd"/>
      <w:r w:rsidR="00F13EA2">
        <w:rPr>
          <w:rFonts w:ascii="Times New Roman" w:eastAsia="SimSun" w:hAnsi="Times New Roman" w:cs="Mangal"/>
          <w:kern w:val="1"/>
          <w:sz w:val="24"/>
          <w:szCs w:val="24"/>
          <w:lang w:eastAsia="hi-IN" w:bidi="hi-IN"/>
        </w:rPr>
        <w:t xml:space="preserve"> 1992</w:t>
      </w:r>
      <w:r w:rsidR="00B920B3">
        <w:rPr>
          <w:rFonts w:ascii="Times New Roman" w:eastAsia="SimSun" w:hAnsi="Times New Roman" w:cs="Mangal"/>
          <w:kern w:val="1"/>
          <w:sz w:val="24"/>
          <w:szCs w:val="24"/>
          <w:lang w:eastAsia="hi-IN" w:bidi="hi-IN"/>
        </w:rPr>
        <w:t xml:space="preserve">; Owens and Epstein 2005; but see Spriggs and </w:t>
      </w:r>
      <w:proofErr w:type="spellStart"/>
      <w:r w:rsidR="00B920B3">
        <w:rPr>
          <w:rFonts w:ascii="Times New Roman" w:eastAsia="SimSun" w:hAnsi="Times New Roman" w:cs="Mangal"/>
          <w:kern w:val="1"/>
          <w:sz w:val="24"/>
          <w:szCs w:val="24"/>
          <w:lang w:eastAsia="hi-IN" w:bidi="hi-IN"/>
        </w:rPr>
        <w:t>Wahlbeck</w:t>
      </w:r>
      <w:proofErr w:type="spellEnd"/>
      <w:r w:rsidR="00B920B3">
        <w:rPr>
          <w:rFonts w:ascii="Times New Roman" w:eastAsia="SimSun" w:hAnsi="Times New Roman" w:cs="Mangal"/>
          <w:kern w:val="1"/>
          <w:sz w:val="24"/>
          <w:szCs w:val="24"/>
          <w:lang w:eastAsia="hi-IN" w:bidi="hi-IN"/>
        </w:rPr>
        <w:t xml:space="preserve"> 1997).</w:t>
      </w:r>
    </w:p>
    <w:p w14:paraId="5E4F99F3" w14:textId="77777777" w:rsidR="00AE02B9" w:rsidRDefault="00AE02B9"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Apart from the amici briefs filed in a case, judges acquire information from the briefs </w:t>
      </w:r>
      <w:r>
        <w:rPr>
          <w:rFonts w:ascii="Times New Roman" w:eastAsia="SimSun" w:hAnsi="Times New Roman" w:cs="Mangal"/>
          <w:kern w:val="1"/>
          <w:sz w:val="24"/>
          <w:szCs w:val="24"/>
          <w:lang w:eastAsia="hi-IN" w:bidi="hi-IN"/>
        </w:rPr>
        <w:lastRenderedPageBreak/>
        <w:t xml:space="preserve">submitted by the parties. Parties’ merits briefs familiarize judges with the facts of a case and inform them about the legal authorities pertinent to the issue at hand. </w:t>
      </w:r>
      <w:r w:rsidR="00140C63">
        <w:rPr>
          <w:rFonts w:ascii="Times New Roman" w:eastAsia="SimSun" w:hAnsi="Times New Roman" w:cs="Mangal"/>
          <w:kern w:val="1"/>
          <w:sz w:val="24"/>
          <w:szCs w:val="24"/>
          <w:lang w:eastAsia="hi-IN" w:bidi="hi-IN"/>
        </w:rPr>
        <w:t xml:space="preserve">Judges, in turn, when they construct their written opinion, give special attention to the language used in the </w:t>
      </w:r>
      <w:proofErr w:type="gramStart"/>
      <w:r w:rsidR="00140C63">
        <w:rPr>
          <w:rFonts w:ascii="Times New Roman" w:eastAsia="SimSun" w:hAnsi="Times New Roman" w:cs="Mangal"/>
          <w:kern w:val="1"/>
          <w:sz w:val="24"/>
          <w:szCs w:val="24"/>
          <w:lang w:eastAsia="hi-IN" w:bidi="hi-IN"/>
        </w:rPr>
        <w:t>merits</w:t>
      </w:r>
      <w:proofErr w:type="gramEnd"/>
      <w:r w:rsidR="00140C63">
        <w:rPr>
          <w:rFonts w:ascii="Times New Roman" w:eastAsia="SimSun" w:hAnsi="Times New Roman" w:cs="Mangal"/>
          <w:kern w:val="1"/>
          <w:sz w:val="24"/>
          <w:szCs w:val="24"/>
          <w:lang w:eastAsia="hi-IN" w:bidi="hi-IN"/>
        </w:rPr>
        <w:t xml:space="preserve"> briefs, since they appear to rely on them more, compared to language stemming from lower court opinions and amici briefs (Feldman 2017).</w:t>
      </w:r>
      <w:r w:rsidR="0075592A">
        <w:rPr>
          <w:rFonts w:ascii="Times New Roman" w:eastAsia="SimSun" w:hAnsi="Times New Roman" w:cs="Mangal"/>
          <w:kern w:val="1"/>
          <w:sz w:val="24"/>
          <w:szCs w:val="24"/>
          <w:lang w:eastAsia="hi-IN" w:bidi="hi-IN"/>
        </w:rPr>
        <w:t xml:space="preserve"> In fact, certain Supreme Court Justices seem to use merits brief</w:t>
      </w:r>
      <w:r w:rsidR="0066587A">
        <w:rPr>
          <w:rFonts w:ascii="Times New Roman" w:eastAsia="SimSun" w:hAnsi="Times New Roman" w:cs="Mangal"/>
          <w:kern w:val="1"/>
          <w:sz w:val="24"/>
          <w:szCs w:val="24"/>
          <w:lang w:eastAsia="hi-IN" w:bidi="hi-IN"/>
        </w:rPr>
        <w:t>s</w:t>
      </w:r>
      <w:r w:rsidR="0075592A">
        <w:rPr>
          <w:rFonts w:ascii="Times New Roman" w:eastAsia="SimSun" w:hAnsi="Times New Roman" w:cs="Mangal"/>
          <w:kern w:val="1"/>
          <w:sz w:val="24"/>
          <w:szCs w:val="24"/>
          <w:lang w:eastAsia="hi-IN" w:bidi="hi-IN"/>
        </w:rPr>
        <w:t xml:space="preserve"> as their main tool in the process of opinion writing, by lifting extensive parts of the opinion language directly from the parties’ briefs (Feldman </w:t>
      </w:r>
      <w:r w:rsidR="00B272DB">
        <w:rPr>
          <w:rFonts w:ascii="Times New Roman" w:eastAsia="SimSun" w:hAnsi="Times New Roman" w:cs="Mangal"/>
          <w:kern w:val="1"/>
          <w:sz w:val="24"/>
          <w:szCs w:val="24"/>
          <w:lang w:eastAsia="hi-IN" w:bidi="hi-IN"/>
        </w:rPr>
        <w:t>2016). Based on this evidence, “the parties, through the briefs submitted on the merits, have the ability to influence the content of opinions, and consequently, have the ability to influence the law” (Corley 2008).</w:t>
      </w:r>
      <w:r w:rsidR="00140C63">
        <w:rPr>
          <w:rFonts w:ascii="Times New Roman" w:eastAsia="SimSun" w:hAnsi="Times New Roman" w:cs="Mangal"/>
          <w:kern w:val="1"/>
          <w:sz w:val="24"/>
          <w:szCs w:val="24"/>
          <w:lang w:eastAsia="hi-IN" w:bidi="hi-IN"/>
        </w:rPr>
        <w:t xml:space="preserve">  </w:t>
      </w:r>
    </w:p>
    <w:p w14:paraId="2ED1F3B8" w14:textId="77777777" w:rsidR="002A74A5" w:rsidRDefault="00B272DB"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If the content of the opinion produced b</w:t>
      </w:r>
      <w:r w:rsidR="0066587A">
        <w:rPr>
          <w:rFonts w:ascii="Times New Roman" w:eastAsia="SimSun" w:hAnsi="Times New Roman" w:cs="Mangal"/>
          <w:kern w:val="1"/>
          <w:sz w:val="24"/>
          <w:szCs w:val="24"/>
          <w:lang w:eastAsia="hi-IN" w:bidi="hi-IN"/>
        </w:rPr>
        <w:t>y the Supreme Court is shaped to</w:t>
      </w:r>
      <w:r>
        <w:rPr>
          <w:rFonts w:ascii="Times New Roman" w:eastAsia="SimSun" w:hAnsi="Times New Roman" w:cs="Mangal"/>
          <w:kern w:val="1"/>
          <w:sz w:val="24"/>
          <w:szCs w:val="24"/>
          <w:lang w:eastAsia="hi-IN" w:bidi="hi-IN"/>
        </w:rPr>
        <w:t xml:space="preserve"> such a great extent by the parties involved in the litigation, and by the friends of the court with an interest in the outcome of the case (</w:t>
      </w:r>
      <w:proofErr w:type="spellStart"/>
      <w:r>
        <w:rPr>
          <w:rFonts w:ascii="Times New Roman" w:eastAsia="SimSun" w:hAnsi="Times New Roman" w:cs="Mangal"/>
          <w:kern w:val="1"/>
          <w:sz w:val="24"/>
          <w:szCs w:val="24"/>
          <w:lang w:eastAsia="hi-IN" w:bidi="hi-IN"/>
        </w:rPr>
        <w:t>Wahlbeck</w:t>
      </w:r>
      <w:proofErr w:type="spellEnd"/>
      <w:r>
        <w:rPr>
          <w:rFonts w:ascii="Times New Roman" w:eastAsia="SimSun" w:hAnsi="Times New Roman" w:cs="Mangal"/>
          <w:kern w:val="1"/>
          <w:sz w:val="24"/>
          <w:szCs w:val="24"/>
          <w:lang w:eastAsia="hi-IN" w:bidi="hi-IN"/>
        </w:rPr>
        <w:t xml:space="preserve"> 1997), then, the </w:t>
      </w:r>
      <w:r w:rsidR="00E87AAF">
        <w:rPr>
          <w:rFonts w:ascii="Times New Roman" w:eastAsia="SimSun" w:hAnsi="Times New Roman" w:cs="Mangal"/>
          <w:kern w:val="1"/>
          <w:sz w:val="24"/>
          <w:szCs w:val="24"/>
          <w:lang w:eastAsia="hi-IN" w:bidi="hi-IN"/>
        </w:rPr>
        <w:t>instances of transnational communication occurring through Supreme Court opinions might not be solely a result of the Justices’ active search for these authorities, but also of the inclusion of this type of language in the briefs. Specifically, I arg</w:t>
      </w:r>
      <w:r w:rsidR="0066587A">
        <w:rPr>
          <w:rFonts w:ascii="Times New Roman" w:eastAsia="SimSun" w:hAnsi="Times New Roman" w:cs="Mangal"/>
          <w:kern w:val="1"/>
          <w:sz w:val="24"/>
          <w:szCs w:val="24"/>
          <w:lang w:eastAsia="hi-IN" w:bidi="hi-IN"/>
        </w:rPr>
        <w:t>ue that, just as social science</w:t>
      </w:r>
      <w:r w:rsidR="00E87AAF">
        <w:rPr>
          <w:rFonts w:ascii="Times New Roman" w:eastAsia="SimSun" w:hAnsi="Times New Roman" w:cs="Mangal"/>
          <w:kern w:val="1"/>
          <w:sz w:val="24"/>
          <w:szCs w:val="24"/>
          <w:lang w:eastAsia="hi-IN" w:bidi="hi-IN"/>
        </w:rPr>
        <w:t xml:space="preserve"> sources made their way into Supreme Court opinions through briefs (Epstein and Black 2007; Margolis 2000)</w:t>
      </w:r>
      <w:r w:rsidR="002A74A5">
        <w:rPr>
          <w:rFonts w:ascii="Times New Roman" w:eastAsia="SimSun" w:hAnsi="Times New Roman" w:cs="Mangal"/>
          <w:kern w:val="1"/>
          <w:sz w:val="24"/>
          <w:szCs w:val="24"/>
          <w:lang w:eastAsia="hi-IN" w:bidi="hi-IN"/>
        </w:rPr>
        <w:t>, the inclusion of foreign and international law authorities in parties’ and amici briefs informs judges of legal developments beyond the domestic borders, along with their potential applications on a case. Consequently, I expect that the citation of transnational authorities in the briefs of a case will increase the likelihood of transnational communication on behalf of U.S. Supreme Court Justices.</w:t>
      </w:r>
    </w:p>
    <w:p w14:paraId="477F97A9" w14:textId="77777777" w:rsidR="00B272DB" w:rsidRDefault="002A74A5"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H1: </w:t>
      </w:r>
      <w:r w:rsidR="00B65F7C">
        <w:rPr>
          <w:rFonts w:ascii="Times New Roman" w:eastAsia="SimSun" w:hAnsi="Times New Roman" w:cs="Mangal"/>
          <w:kern w:val="1"/>
          <w:sz w:val="24"/>
          <w:szCs w:val="24"/>
          <w:lang w:eastAsia="hi-IN" w:bidi="hi-IN"/>
        </w:rPr>
        <w:t>Foreign and international law citations are more likely to be used in Supreme Court opinions when such authorities are referenced in the parties’ briefs on the merits, compared to cases where parties’ briefs cite solely domestic law.</w:t>
      </w:r>
    </w:p>
    <w:p w14:paraId="04EA029E" w14:textId="77777777" w:rsidR="00B65F7C" w:rsidRDefault="00B65F7C"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lastRenderedPageBreak/>
        <w:t>H2: Foreign and international law citations are more likely to be used in Supreme Court opinions when such authorities are referenced in the amici briefs on the merits, compared to cases where the amici briefs cite solely domestic law.</w:t>
      </w:r>
    </w:p>
    <w:p w14:paraId="2073212C" w14:textId="41A18C15" w:rsidR="008C4F27" w:rsidRDefault="00B65F7C"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It should be noted at this point that, in this study, I do not theorize on the reasons </w:t>
      </w:r>
      <w:r w:rsidR="00AC0399">
        <w:rPr>
          <w:rFonts w:ascii="Times New Roman" w:eastAsia="SimSun" w:hAnsi="Times New Roman" w:cs="Mangal"/>
          <w:kern w:val="1"/>
          <w:sz w:val="24"/>
          <w:szCs w:val="24"/>
          <w:lang w:eastAsia="hi-IN" w:bidi="hi-IN"/>
        </w:rPr>
        <w:t xml:space="preserve">behind a Justice’s choice to engage in transnational communication. </w:t>
      </w:r>
      <w:r w:rsidR="00A133D5">
        <w:rPr>
          <w:rFonts w:ascii="Times New Roman" w:eastAsia="SimSun" w:hAnsi="Times New Roman" w:cs="Mangal"/>
          <w:kern w:val="1"/>
          <w:sz w:val="24"/>
          <w:szCs w:val="24"/>
          <w:lang w:eastAsia="hi-IN" w:bidi="hi-IN"/>
        </w:rPr>
        <w:t xml:space="preserve">Justices who rely on foreign and international law citations in their written opinions might do so because they consider these authorities persuasive, or because they have adopted a cosmopolitan attitude, or simply because they need as many sources as possible to support the outcome they prefer. Regardless of the reasoning, the fact is that transnational citations do appear in court opinions; the focus of this study </w:t>
      </w:r>
      <w:r w:rsidR="0066587A">
        <w:rPr>
          <w:rFonts w:ascii="Times New Roman" w:eastAsia="SimSun" w:hAnsi="Times New Roman" w:cs="Mangal"/>
          <w:kern w:val="1"/>
          <w:sz w:val="24"/>
          <w:szCs w:val="24"/>
          <w:lang w:eastAsia="hi-IN" w:bidi="hi-IN"/>
        </w:rPr>
        <w:t xml:space="preserve">then </w:t>
      </w:r>
      <w:r w:rsidR="00A133D5">
        <w:rPr>
          <w:rFonts w:ascii="Times New Roman" w:eastAsia="SimSun" w:hAnsi="Times New Roman" w:cs="Mangal"/>
          <w:kern w:val="1"/>
          <w:sz w:val="24"/>
          <w:szCs w:val="24"/>
          <w:lang w:eastAsia="hi-IN" w:bidi="hi-IN"/>
        </w:rPr>
        <w:t>is the route that these citations follow to be</w:t>
      </w:r>
      <w:r w:rsidR="008C4F27">
        <w:rPr>
          <w:rFonts w:ascii="Times New Roman" w:eastAsia="SimSun" w:hAnsi="Times New Roman" w:cs="Mangal"/>
          <w:kern w:val="1"/>
          <w:sz w:val="24"/>
          <w:szCs w:val="24"/>
          <w:lang w:eastAsia="hi-IN" w:bidi="hi-IN"/>
        </w:rPr>
        <w:t>come part of the Supreme Court language.</w:t>
      </w:r>
    </w:p>
    <w:p w14:paraId="6D87C9C8" w14:textId="77777777" w:rsidR="00C02057" w:rsidRDefault="00C02057" w:rsidP="00BF7C83">
      <w:pPr>
        <w:widowControl w:val="0"/>
        <w:suppressAutoHyphens/>
        <w:spacing w:after="0" w:line="480" w:lineRule="auto"/>
        <w:ind w:firstLine="432"/>
        <w:rPr>
          <w:rFonts w:ascii="Times New Roman" w:eastAsia="SimSun" w:hAnsi="Times New Roman" w:cs="Mangal"/>
          <w:kern w:val="1"/>
          <w:sz w:val="24"/>
          <w:szCs w:val="24"/>
          <w:lang w:eastAsia="hi-IN" w:bidi="hi-IN"/>
        </w:rPr>
      </w:pPr>
    </w:p>
    <w:p w14:paraId="7BCC4A2E" w14:textId="77777777" w:rsidR="008C4F27" w:rsidRDefault="008C4F27" w:rsidP="008C4F27">
      <w:pPr>
        <w:widowControl w:val="0"/>
        <w:suppressAutoHyphens/>
        <w:spacing w:after="0" w:line="480" w:lineRule="auto"/>
        <w:rPr>
          <w:rFonts w:ascii="Times New Roman" w:eastAsia="SimSun" w:hAnsi="Times New Roman" w:cs="Mangal"/>
          <w:b/>
          <w:kern w:val="1"/>
          <w:sz w:val="24"/>
          <w:szCs w:val="24"/>
          <w:lang w:eastAsia="hi-IN" w:bidi="hi-IN"/>
        </w:rPr>
      </w:pPr>
      <w:r>
        <w:rPr>
          <w:rFonts w:ascii="Times New Roman" w:eastAsia="SimSun" w:hAnsi="Times New Roman" w:cs="Mangal"/>
          <w:b/>
          <w:kern w:val="1"/>
          <w:sz w:val="24"/>
          <w:szCs w:val="24"/>
          <w:lang w:eastAsia="hi-IN" w:bidi="hi-IN"/>
        </w:rPr>
        <w:t>Data and Methods</w:t>
      </w:r>
    </w:p>
    <w:p w14:paraId="6746C590" w14:textId="77777777" w:rsidR="00B65F7C" w:rsidRDefault="008C4F27" w:rsidP="008C4F27">
      <w:pPr>
        <w:widowControl w:val="0"/>
        <w:suppressAutoHyphens/>
        <w:spacing w:after="0" w:line="480" w:lineRule="auto"/>
        <w:rPr>
          <w:rFonts w:ascii="Times New Roman" w:eastAsia="SimSun" w:hAnsi="Times New Roman" w:cs="Mangal"/>
          <w:kern w:val="1"/>
          <w:sz w:val="24"/>
          <w:szCs w:val="24"/>
          <w:lang w:eastAsia="hi-IN" w:bidi="hi-IN"/>
        </w:rPr>
      </w:pPr>
      <w:proofErr w:type="gramStart"/>
      <w:r>
        <w:rPr>
          <w:rFonts w:ascii="Times New Roman" w:eastAsia="SimSun" w:hAnsi="Times New Roman" w:cs="Mangal"/>
          <w:kern w:val="1"/>
          <w:sz w:val="24"/>
          <w:szCs w:val="24"/>
          <w:lang w:eastAsia="hi-IN" w:bidi="hi-IN"/>
        </w:rPr>
        <w:t>For the purpose of</w:t>
      </w:r>
      <w:proofErr w:type="gramEnd"/>
      <w:r>
        <w:rPr>
          <w:rFonts w:ascii="Times New Roman" w:eastAsia="SimSun" w:hAnsi="Times New Roman" w:cs="Mangal"/>
          <w:kern w:val="1"/>
          <w:sz w:val="24"/>
          <w:szCs w:val="24"/>
          <w:lang w:eastAsia="hi-IN" w:bidi="hi-IN"/>
        </w:rPr>
        <w:t xml:space="preserve"> this study, transnational communication includes the citation of foreign law, foreign national court decisions, internation</w:t>
      </w:r>
      <w:r w:rsidR="009251C4">
        <w:rPr>
          <w:rFonts w:ascii="Times New Roman" w:eastAsia="SimSun" w:hAnsi="Times New Roman" w:cs="Mangal"/>
          <w:kern w:val="1"/>
          <w:sz w:val="24"/>
          <w:szCs w:val="24"/>
          <w:lang w:eastAsia="hi-IN" w:bidi="hi-IN"/>
        </w:rPr>
        <w:t xml:space="preserve">al treaties and decisions made by international courts. </w:t>
      </w:r>
      <w:r w:rsidR="003675F3">
        <w:rPr>
          <w:rFonts w:ascii="Times New Roman" w:eastAsia="SimSun" w:hAnsi="Times New Roman" w:cs="Mangal"/>
          <w:kern w:val="1"/>
          <w:sz w:val="24"/>
          <w:szCs w:val="24"/>
          <w:lang w:eastAsia="hi-IN" w:bidi="hi-IN"/>
        </w:rPr>
        <w:t xml:space="preserve">The focus of the analysis is the United States Supreme Court and its citation practices from 1989 to 2015. This specific range of years was chosen </w:t>
      </w:r>
      <w:proofErr w:type="gramStart"/>
      <w:r w:rsidR="003675F3">
        <w:rPr>
          <w:rFonts w:ascii="Times New Roman" w:eastAsia="SimSun" w:hAnsi="Times New Roman" w:cs="Mangal"/>
          <w:kern w:val="1"/>
          <w:sz w:val="24"/>
          <w:szCs w:val="24"/>
          <w:lang w:eastAsia="hi-IN" w:bidi="hi-IN"/>
        </w:rPr>
        <w:t>in order for</w:t>
      </w:r>
      <w:proofErr w:type="gramEnd"/>
      <w:r w:rsidR="003675F3">
        <w:rPr>
          <w:rFonts w:ascii="Times New Roman" w:eastAsia="SimSun" w:hAnsi="Times New Roman" w:cs="Mangal"/>
          <w:kern w:val="1"/>
          <w:sz w:val="24"/>
          <w:szCs w:val="24"/>
          <w:lang w:eastAsia="hi-IN" w:bidi="hi-IN"/>
        </w:rPr>
        <w:t xml:space="preserve"> the study to cover the beginning of judicial globalization, and, at the same time, to ensure the availability of data, especially when it comes to amicus briefs filed at the merits stage.</w:t>
      </w:r>
    </w:p>
    <w:p w14:paraId="21161316" w14:textId="77777777" w:rsidR="000D38F9" w:rsidRDefault="003675F3" w:rsidP="003675F3">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To test my hypotheses, I created an original dataset of foreign and international law citations in parties’ and amici briefs. To construct the initial dataset, I downloaded the </w:t>
      </w:r>
      <w:r>
        <w:rPr>
          <w:rFonts w:ascii="Times New Roman" w:eastAsia="SimSun" w:hAnsi="Times New Roman" w:cs="Times New Roman"/>
          <w:bCs/>
          <w:i/>
          <w:kern w:val="1"/>
          <w:sz w:val="24"/>
          <w:szCs w:val="24"/>
          <w:lang w:eastAsia="hi-IN" w:bidi="hi-IN"/>
        </w:rPr>
        <w:t xml:space="preserve">Lexis </w:t>
      </w:r>
      <w:r>
        <w:rPr>
          <w:rFonts w:ascii="Times New Roman" w:eastAsia="SimSun" w:hAnsi="Times New Roman" w:cs="Times New Roman"/>
          <w:bCs/>
          <w:kern w:val="1"/>
          <w:sz w:val="24"/>
          <w:szCs w:val="24"/>
          <w:lang w:eastAsia="hi-IN" w:bidi="hi-IN"/>
        </w:rPr>
        <w:t>identifications for all the cases the Supreme Court decided between 1989 and 2015 from the Supreme Court Database</w:t>
      </w:r>
      <w:r w:rsidR="008C31FF">
        <w:rPr>
          <w:rFonts w:ascii="Times New Roman" w:eastAsia="SimSun" w:hAnsi="Times New Roman" w:cs="Times New Roman"/>
          <w:bCs/>
          <w:kern w:val="1"/>
          <w:sz w:val="24"/>
          <w:szCs w:val="24"/>
          <w:lang w:eastAsia="hi-IN" w:bidi="hi-IN"/>
        </w:rPr>
        <w:t xml:space="preserve"> (Spaeth et al. 2016)</w:t>
      </w:r>
      <w:r>
        <w:rPr>
          <w:rFonts w:ascii="Times New Roman" w:eastAsia="SimSun" w:hAnsi="Times New Roman" w:cs="Times New Roman"/>
          <w:bCs/>
          <w:kern w:val="1"/>
          <w:sz w:val="24"/>
          <w:szCs w:val="24"/>
          <w:lang w:eastAsia="hi-IN" w:bidi="hi-IN"/>
        </w:rPr>
        <w:t>.</w:t>
      </w:r>
      <w:r w:rsidR="008C31FF">
        <w:rPr>
          <w:rFonts w:ascii="Times New Roman" w:eastAsia="SimSun" w:hAnsi="Times New Roman" w:cs="Times New Roman"/>
          <w:bCs/>
          <w:kern w:val="1"/>
          <w:sz w:val="24"/>
          <w:szCs w:val="24"/>
          <w:lang w:eastAsia="hi-IN" w:bidi="hi-IN"/>
        </w:rPr>
        <w:t xml:space="preserve"> After perusing the cases on </w:t>
      </w:r>
      <w:r w:rsidR="008C31FF">
        <w:rPr>
          <w:rFonts w:ascii="Times New Roman" w:eastAsia="SimSun" w:hAnsi="Times New Roman" w:cs="Times New Roman"/>
          <w:bCs/>
          <w:i/>
          <w:kern w:val="1"/>
          <w:sz w:val="24"/>
          <w:szCs w:val="24"/>
          <w:lang w:eastAsia="hi-IN" w:bidi="hi-IN"/>
        </w:rPr>
        <w:t>Lexis</w:t>
      </w:r>
      <w:r w:rsidR="008C31FF">
        <w:rPr>
          <w:rFonts w:ascii="Times New Roman" w:eastAsia="SimSun" w:hAnsi="Times New Roman" w:cs="Times New Roman"/>
          <w:bCs/>
          <w:kern w:val="1"/>
          <w:sz w:val="24"/>
          <w:szCs w:val="24"/>
          <w:lang w:eastAsia="hi-IN" w:bidi="hi-IN"/>
        </w:rPr>
        <w:t>, I dropped those for which no briefs were available and those where the Court opinion gave no reasoning behind a decision.</w:t>
      </w:r>
      <w:r w:rsidR="000D38F9">
        <w:rPr>
          <w:rStyle w:val="EndnoteReference"/>
          <w:rFonts w:ascii="Times New Roman" w:eastAsia="SimSun" w:hAnsi="Times New Roman" w:cs="Times New Roman"/>
          <w:bCs/>
          <w:kern w:val="1"/>
          <w:sz w:val="24"/>
          <w:szCs w:val="24"/>
          <w:lang w:eastAsia="hi-IN" w:bidi="hi-IN"/>
        </w:rPr>
        <w:endnoteReference w:id="1"/>
      </w:r>
      <w:r w:rsidR="000D38F9">
        <w:rPr>
          <w:rFonts w:ascii="Times New Roman" w:eastAsia="SimSun" w:hAnsi="Times New Roman" w:cs="Times New Roman"/>
          <w:bCs/>
          <w:kern w:val="1"/>
          <w:sz w:val="24"/>
          <w:szCs w:val="24"/>
          <w:lang w:eastAsia="hi-IN" w:bidi="hi-IN"/>
        </w:rPr>
        <w:t xml:space="preserve"> </w:t>
      </w:r>
      <w:r w:rsidR="000D38F9">
        <w:rPr>
          <w:rFonts w:ascii="Times New Roman" w:eastAsia="SimSun" w:hAnsi="Times New Roman" w:cs="Times New Roman"/>
          <w:bCs/>
          <w:kern w:val="1"/>
          <w:sz w:val="24"/>
          <w:szCs w:val="24"/>
          <w:lang w:eastAsia="hi-IN" w:bidi="hi-IN"/>
        </w:rPr>
        <w:lastRenderedPageBreak/>
        <w:t xml:space="preserve">For the remaining cases, I used </w:t>
      </w:r>
      <w:r w:rsidR="000D38F9">
        <w:rPr>
          <w:rFonts w:ascii="Times New Roman" w:eastAsia="SimSun" w:hAnsi="Times New Roman" w:cs="Times New Roman"/>
          <w:bCs/>
          <w:i/>
          <w:kern w:val="1"/>
          <w:sz w:val="24"/>
          <w:szCs w:val="24"/>
          <w:lang w:eastAsia="hi-IN" w:bidi="hi-IN"/>
        </w:rPr>
        <w:t xml:space="preserve">Lexis </w:t>
      </w:r>
      <w:r w:rsidR="000D38F9">
        <w:rPr>
          <w:rFonts w:ascii="Times New Roman" w:eastAsia="SimSun" w:hAnsi="Times New Roman" w:cs="Times New Roman"/>
          <w:bCs/>
          <w:kern w:val="1"/>
          <w:sz w:val="24"/>
          <w:szCs w:val="24"/>
          <w:lang w:eastAsia="hi-IN" w:bidi="hi-IN"/>
        </w:rPr>
        <w:t xml:space="preserve">to identify the cases for which the parties’ briefs, the amici briefs, or both, included at least one reference of foreign or international law, by reading the list of authorities each brief contains. Following this process, I identified 223 cases with citations to transnational sources in litigants’ briefs and 334 cases with transnational references in amici briefs. </w:t>
      </w:r>
    </w:p>
    <w:p w14:paraId="66E6EA70" w14:textId="77777777" w:rsidR="000D38F9" w:rsidRDefault="000D38F9" w:rsidP="003675F3">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The next step involved the classification of Supreme Court opinions depending on whether they engaged in transnational communication or not. To find opinions that cite foreign or international law, I conducted several key word searches on </w:t>
      </w:r>
      <w:r>
        <w:rPr>
          <w:rFonts w:ascii="Times New Roman" w:eastAsia="SimSun" w:hAnsi="Times New Roman" w:cs="Times New Roman"/>
          <w:bCs/>
          <w:i/>
          <w:kern w:val="1"/>
          <w:sz w:val="24"/>
          <w:szCs w:val="24"/>
          <w:lang w:eastAsia="hi-IN" w:bidi="hi-IN"/>
        </w:rPr>
        <w:t>Lexis</w:t>
      </w:r>
      <w:r>
        <w:rPr>
          <w:rFonts w:ascii="Times New Roman" w:eastAsia="SimSun" w:hAnsi="Times New Roman" w:cs="Times New Roman"/>
          <w:bCs/>
          <w:kern w:val="1"/>
          <w:sz w:val="24"/>
          <w:szCs w:val="24"/>
          <w:lang w:eastAsia="hi-IN" w:bidi="hi-IN"/>
        </w:rPr>
        <w:t>, looking for titles of international treaties, names of foreign and international courts, and international law more generally. After identifying cases that included at least one such citation, either in the majority or the minority opinions, I looked at the text of the opinion to ensure that my search had identified instances of transnational communication correctly. Furthermore, I skimmed through the language of the opinions that, according to my search, did not include foreign and international law citations, to verify that there were no relevant cases that were not included in my results. Through this process, I identified 143 cases that referred to transnational authorities, out of 2247 cases. From these 143 cases, 106 included at least one citation in the majority opinion.</w:t>
      </w:r>
      <w:r>
        <w:rPr>
          <w:rStyle w:val="EndnoteReference"/>
          <w:rFonts w:ascii="Times New Roman" w:eastAsia="SimSun" w:hAnsi="Times New Roman" w:cs="Times New Roman"/>
          <w:bCs/>
          <w:kern w:val="1"/>
          <w:sz w:val="24"/>
          <w:szCs w:val="24"/>
          <w:lang w:eastAsia="hi-IN" w:bidi="hi-IN"/>
        </w:rPr>
        <w:endnoteReference w:id="2"/>
      </w:r>
      <w:r>
        <w:rPr>
          <w:rFonts w:ascii="Times New Roman" w:eastAsia="SimSun" w:hAnsi="Times New Roman" w:cs="Times New Roman"/>
          <w:bCs/>
          <w:kern w:val="1"/>
          <w:sz w:val="24"/>
          <w:szCs w:val="24"/>
          <w:lang w:eastAsia="hi-IN" w:bidi="hi-IN"/>
        </w:rPr>
        <w:t xml:space="preserve"> </w:t>
      </w:r>
    </w:p>
    <w:p w14:paraId="43BCB469" w14:textId="77777777" w:rsidR="000D38F9" w:rsidRDefault="000D38F9" w:rsidP="003675F3">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A descriptive analysis of the data, presented in Figure 1, indicates that, </w:t>
      </w:r>
      <w:proofErr w:type="gramStart"/>
      <w:r>
        <w:rPr>
          <w:rFonts w:ascii="Times New Roman" w:eastAsia="SimSun" w:hAnsi="Times New Roman" w:cs="Times New Roman"/>
          <w:bCs/>
          <w:kern w:val="1"/>
          <w:sz w:val="24"/>
          <w:szCs w:val="24"/>
          <w:lang w:eastAsia="hi-IN" w:bidi="hi-IN"/>
        </w:rPr>
        <w:t>first of all</w:t>
      </w:r>
      <w:proofErr w:type="gramEnd"/>
      <w:r>
        <w:rPr>
          <w:rFonts w:ascii="Times New Roman" w:eastAsia="SimSun" w:hAnsi="Times New Roman" w:cs="Times New Roman"/>
          <w:bCs/>
          <w:kern w:val="1"/>
          <w:sz w:val="24"/>
          <w:szCs w:val="24"/>
          <w:lang w:eastAsia="hi-IN" w:bidi="hi-IN"/>
        </w:rPr>
        <w:t>, transnational communication through Supreme Court opinions has steadily increased through the years. Furthermore, a similar proliferation is evident in the case of both parties’ and amici briefs. Especially in the case of amici, the citation of foreign and international law eventually becomes almost a common occurrence, since between 20 and 30% of the cases the Supreme Court decided after 2003 have attracted at least one amicus brief that refers to transnational sources.</w:t>
      </w:r>
    </w:p>
    <w:p w14:paraId="3962054C" w14:textId="77777777" w:rsidR="000D38F9" w:rsidRDefault="000D38F9" w:rsidP="00E1434C">
      <w:pPr>
        <w:widowControl w:val="0"/>
        <w:suppressAutoHyphens/>
        <w:spacing w:after="0" w:line="480" w:lineRule="auto"/>
        <w:ind w:firstLine="432"/>
        <w:jc w:val="center"/>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[FIGURE 1 ABOUT HERE]</w:t>
      </w:r>
    </w:p>
    <w:p w14:paraId="007216B2" w14:textId="77777777" w:rsidR="000D38F9" w:rsidRDefault="000D38F9" w:rsidP="00E1434C">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proofErr w:type="gramStart"/>
      <w:r>
        <w:rPr>
          <w:rFonts w:ascii="Times New Roman" w:eastAsia="SimSun" w:hAnsi="Times New Roman" w:cs="Times New Roman"/>
          <w:bCs/>
          <w:kern w:val="1"/>
          <w:sz w:val="24"/>
          <w:szCs w:val="24"/>
          <w:lang w:eastAsia="hi-IN" w:bidi="hi-IN"/>
        </w:rPr>
        <w:lastRenderedPageBreak/>
        <w:t>In order to</w:t>
      </w:r>
      <w:proofErr w:type="gramEnd"/>
      <w:r>
        <w:rPr>
          <w:rFonts w:ascii="Times New Roman" w:eastAsia="SimSun" w:hAnsi="Times New Roman" w:cs="Times New Roman"/>
          <w:bCs/>
          <w:kern w:val="1"/>
          <w:sz w:val="24"/>
          <w:szCs w:val="24"/>
          <w:lang w:eastAsia="hi-IN" w:bidi="hi-IN"/>
        </w:rPr>
        <w:t xml:space="preserve"> proceed with an empirical analysis of my dataset, I utilized my citation dataset, in combination with variables already existing in the Supreme Court Database. The dependent variable of this study, </w:t>
      </w:r>
      <w:r>
        <w:rPr>
          <w:rFonts w:ascii="Times New Roman" w:eastAsia="SimSun" w:hAnsi="Times New Roman" w:cs="Times New Roman"/>
          <w:bCs/>
          <w:i/>
          <w:kern w:val="1"/>
          <w:sz w:val="24"/>
          <w:szCs w:val="24"/>
          <w:lang w:eastAsia="hi-IN" w:bidi="hi-IN"/>
        </w:rPr>
        <w:t>Opinion Citation</w:t>
      </w:r>
      <w:r>
        <w:rPr>
          <w:rFonts w:ascii="Times New Roman" w:eastAsia="SimSun" w:hAnsi="Times New Roman" w:cs="Times New Roman"/>
          <w:bCs/>
          <w:kern w:val="1"/>
          <w:sz w:val="24"/>
          <w:szCs w:val="24"/>
          <w:lang w:eastAsia="hi-IN" w:bidi="hi-IN"/>
        </w:rPr>
        <w:t>, was coded 1 for cases that include at least one citation of foreign or international law at any point of the majority or minority opinion, and 0 otherwise.</w:t>
      </w:r>
    </w:p>
    <w:p w14:paraId="33DD5539" w14:textId="77777777" w:rsidR="000D38F9" w:rsidRDefault="000D38F9" w:rsidP="00E1434C">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The two main independent variables of interest, </w:t>
      </w:r>
      <w:r>
        <w:rPr>
          <w:rFonts w:ascii="Times New Roman" w:eastAsia="SimSun" w:hAnsi="Times New Roman" w:cs="Times New Roman"/>
          <w:bCs/>
          <w:i/>
          <w:kern w:val="1"/>
          <w:sz w:val="24"/>
          <w:szCs w:val="24"/>
          <w:lang w:eastAsia="hi-IN" w:bidi="hi-IN"/>
        </w:rPr>
        <w:t xml:space="preserve">Party Brief Citation </w:t>
      </w:r>
      <w:r>
        <w:rPr>
          <w:rFonts w:ascii="Times New Roman" w:eastAsia="SimSun" w:hAnsi="Times New Roman" w:cs="Times New Roman"/>
          <w:bCs/>
          <w:kern w:val="1"/>
          <w:sz w:val="24"/>
          <w:szCs w:val="24"/>
          <w:lang w:eastAsia="hi-IN" w:bidi="hi-IN"/>
        </w:rPr>
        <w:t xml:space="preserve">and </w:t>
      </w:r>
      <w:r>
        <w:rPr>
          <w:rFonts w:ascii="Times New Roman" w:eastAsia="SimSun" w:hAnsi="Times New Roman" w:cs="Times New Roman"/>
          <w:bCs/>
          <w:i/>
          <w:kern w:val="1"/>
          <w:sz w:val="24"/>
          <w:szCs w:val="24"/>
          <w:lang w:eastAsia="hi-IN" w:bidi="hi-IN"/>
        </w:rPr>
        <w:t xml:space="preserve">Amicus Brief Citation, </w:t>
      </w:r>
      <w:r>
        <w:rPr>
          <w:rFonts w:ascii="Times New Roman" w:eastAsia="SimSun" w:hAnsi="Times New Roman" w:cs="Times New Roman"/>
          <w:bCs/>
          <w:kern w:val="1"/>
          <w:sz w:val="24"/>
          <w:szCs w:val="24"/>
          <w:lang w:eastAsia="hi-IN" w:bidi="hi-IN"/>
        </w:rPr>
        <w:t>were coded 1 if a reference of transnational law occurred in one of the litigants’ briefs and in at least one of the amici briefs respectively. On the contrary, if the briefs cited only domestic law, these variables were coded 0.</w:t>
      </w:r>
    </w:p>
    <w:p w14:paraId="4D1B4C24" w14:textId="77777777" w:rsidR="000D38F9" w:rsidRDefault="000D38F9" w:rsidP="00E1434C">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Apart from the two independent variables, I included </w:t>
      </w:r>
      <w:r w:rsidR="008736C7">
        <w:rPr>
          <w:rFonts w:ascii="Times New Roman" w:eastAsia="SimSun" w:hAnsi="Times New Roman" w:cs="Times New Roman"/>
          <w:bCs/>
          <w:kern w:val="1"/>
          <w:sz w:val="24"/>
          <w:szCs w:val="24"/>
          <w:lang w:eastAsia="hi-IN" w:bidi="hi-IN"/>
        </w:rPr>
        <w:t>several controls in my model</w:t>
      </w:r>
      <w:r>
        <w:rPr>
          <w:rFonts w:ascii="Times New Roman" w:eastAsia="SimSun" w:hAnsi="Times New Roman" w:cs="Times New Roman"/>
          <w:bCs/>
          <w:kern w:val="1"/>
          <w:sz w:val="24"/>
          <w:szCs w:val="24"/>
          <w:lang w:eastAsia="hi-IN" w:bidi="hi-IN"/>
        </w:rPr>
        <w:t xml:space="preserve"> to account for other factors that might affect the language and sources Supreme Court Justices use in their opinions. The </w:t>
      </w:r>
      <w:r>
        <w:rPr>
          <w:rFonts w:ascii="Times New Roman" w:eastAsia="SimSun" w:hAnsi="Times New Roman" w:cs="Times New Roman"/>
          <w:bCs/>
          <w:i/>
          <w:kern w:val="1"/>
          <w:sz w:val="24"/>
          <w:szCs w:val="24"/>
          <w:lang w:eastAsia="hi-IN" w:bidi="hi-IN"/>
        </w:rPr>
        <w:t xml:space="preserve">Lower Court Citation </w:t>
      </w:r>
      <w:r>
        <w:rPr>
          <w:rFonts w:ascii="Times New Roman" w:eastAsia="SimSun" w:hAnsi="Times New Roman" w:cs="Times New Roman"/>
          <w:bCs/>
          <w:kern w:val="1"/>
          <w:sz w:val="24"/>
          <w:szCs w:val="24"/>
          <w:lang w:eastAsia="hi-IN" w:bidi="hi-IN"/>
        </w:rPr>
        <w:t xml:space="preserve">variable aims to control for the influence of the lower court opinion on the Supreme Court opinion content, based on previous research that indicates a link between the two (Corley, Collins, and Calvin 2011). To construct this variable, I looked at the lower court opinion corresponding to each Supreme Court case in my </w:t>
      </w:r>
      <w:proofErr w:type="gramStart"/>
      <w:r>
        <w:rPr>
          <w:rFonts w:ascii="Times New Roman" w:eastAsia="SimSun" w:hAnsi="Times New Roman" w:cs="Times New Roman"/>
          <w:bCs/>
          <w:kern w:val="1"/>
          <w:sz w:val="24"/>
          <w:szCs w:val="24"/>
          <w:lang w:eastAsia="hi-IN" w:bidi="hi-IN"/>
        </w:rPr>
        <w:t>dataset, and</w:t>
      </w:r>
      <w:proofErr w:type="gramEnd"/>
      <w:r>
        <w:rPr>
          <w:rFonts w:ascii="Times New Roman" w:eastAsia="SimSun" w:hAnsi="Times New Roman" w:cs="Times New Roman"/>
          <w:bCs/>
          <w:kern w:val="1"/>
          <w:sz w:val="24"/>
          <w:szCs w:val="24"/>
          <w:lang w:eastAsia="hi-IN" w:bidi="hi-IN"/>
        </w:rPr>
        <w:t xml:space="preserve"> searched for transnational citations. If at least one such citation was found the variable was coded 1, and 0 otherwise.</w:t>
      </w:r>
    </w:p>
    <w:p w14:paraId="2B44DDA7" w14:textId="77777777" w:rsidR="000D38F9" w:rsidRPr="00BC361B" w:rsidRDefault="000D38F9" w:rsidP="00E1434C">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Moreover, I control for the effect that a case involving a foreign issue might </w:t>
      </w:r>
      <w:r w:rsidR="00042587">
        <w:rPr>
          <w:rFonts w:ascii="Times New Roman" w:eastAsia="SimSun" w:hAnsi="Times New Roman" w:cs="Times New Roman"/>
          <w:bCs/>
          <w:kern w:val="1"/>
          <w:sz w:val="24"/>
          <w:szCs w:val="24"/>
          <w:lang w:eastAsia="hi-IN" w:bidi="hi-IN"/>
        </w:rPr>
        <w:t xml:space="preserve">have </w:t>
      </w:r>
      <w:r>
        <w:rPr>
          <w:rFonts w:ascii="Times New Roman" w:eastAsia="SimSun" w:hAnsi="Times New Roman" w:cs="Times New Roman"/>
          <w:bCs/>
          <w:kern w:val="1"/>
          <w:sz w:val="24"/>
          <w:szCs w:val="24"/>
          <w:lang w:eastAsia="hi-IN" w:bidi="hi-IN"/>
        </w:rPr>
        <w:t xml:space="preserve">on the </w:t>
      </w:r>
      <w:r w:rsidR="009A69C7">
        <w:rPr>
          <w:rFonts w:ascii="Times New Roman" w:eastAsia="SimSun" w:hAnsi="Times New Roman" w:cs="Times New Roman"/>
          <w:bCs/>
          <w:kern w:val="1"/>
          <w:sz w:val="24"/>
          <w:szCs w:val="24"/>
          <w:lang w:eastAsia="hi-IN" w:bidi="hi-IN"/>
        </w:rPr>
        <w:t xml:space="preserve">likelihood for </w:t>
      </w:r>
      <w:r>
        <w:rPr>
          <w:rFonts w:ascii="Times New Roman" w:eastAsia="SimSun" w:hAnsi="Times New Roman" w:cs="Times New Roman"/>
          <w:bCs/>
          <w:kern w:val="1"/>
          <w:sz w:val="24"/>
          <w:szCs w:val="24"/>
          <w:lang w:eastAsia="hi-IN" w:bidi="hi-IN"/>
        </w:rPr>
        <w:t>foreign and international citations</w:t>
      </w:r>
      <w:r w:rsidR="009A69C7">
        <w:rPr>
          <w:rFonts w:ascii="Times New Roman" w:eastAsia="SimSun" w:hAnsi="Times New Roman" w:cs="Times New Roman"/>
          <w:bCs/>
          <w:kern w:val="1"/>
          <w:sz w:val="24"/>
          <w:szCs w:val="24"/>
          <w:lang w:eastAsia="hi-IN" w:bidi="hi-IN"/>
        </w:rPr>
        <w:t xml:space="preserve"> appearance</w:t>
      </w:r>
      <w:r>
        <w:rPr>
          <w:rFonts w:ascii="Times New Roman" w:eastAsia="SimSun" w:hAnsi="Times New Roman" w:cs="Times New Roman"/>
          <w:bCs/>
          <w:kern w:val="1"/>
          <w:sz w:val="24"/>
          <w:szCs w:val="24"/>
          <w:lang w:eastAsia="hi-IN" w:bidi="hi-IN"/>
        </w:rPr>
        <w:t xml:space="preserve">, with regards to both the opinion and the briefs content. A case that requires the Justices to engage in treaty interpretation, for instance, is almost certain to attract transnational citations in the court opinion as the Court discusses the treaty, and in the briefs, as they give their own interpretation of the authority under discussion. To construct the variable </w:t>
      </w:r>
      <w:r>
        <w:rPr>
          <w:rFonts w:ascii="Times New Roman" w:eastAsia="SimSun" w:hAnsi="Times New Roman" w:cs="Times New Roman"/>
          <w:bCs/>
          <w:i/>
          <w:kern w:val="1"/>
          <w:sz w:val="24"/>
          <w:szCs w:val="24"/>
          <w:lang w:eastAsia="hi-IN" w:bidi="hi-IN"/>
        </w:rPr>
        <w:t xml:space="preserve">Foreign Issue, </w:t>
      </w:r>
      <w:r>
        <w:rPr>
          <w:rFonts w:ascii="Times New Roman" w:eastAsia="SimSun" w:hAnsi="Times New Roman" w:cs="Times New Roman"/>
          <w:bCs/>
          <w:kern w:val="1"/>
          <w:sz w:val="24"/>
          <w:szCs w:val="24"/>
          <w:lang w:eastAsia="hi-IN" w:bidi="hi-IN"/>
        </w:rPr>
        <w:t xml:space="preserve">I looked at the description of the facts of the case in the court </w:t>
      </w:r>
      <w:proofErr w:type="gramStart"/>
      <w:r>
        <w:rPr>
          <w:rFonts w:ascii="Times New Roman" w:eastAsia="SimSun" w:hAnsi="Times New Roman" w:cs="Times New Roman"/>
          <w:bCs/>
          <w:kern w:val="1"/>
          <w:sz w:val="24"/>
          <w:szCs w:val="24"/>
          <w:lang w:eastAsia="hi-IN" w:bidi="hi-IN"/>
        </w:rPr>
        <w:t>opinion, and</w:t>
      </w:r>
      <w:proofErr w:type="gramEnd"/>
      <w:r>
        <w:rPr>
          <w:rFonts w:ascii="Times New Roman" w:eastAsia="SimSun" w:hAnsi="Times New Roman" w:cs="Times New Roman"/>
          <w:bCs/>
          <w:kern w:val="1"/>
          <w:sz w:val="24"/>
          <w:szCs w:val="24"/>
          <w:lang w:eastAsia="hi-IN" w:bidi="hi-IN"/>
        </w:rPr>
        <w:t xml:space="preserve"> coded the variable 1 if the case involved treaty interpretation, or foreign </w:t>
      </w:r>
      <w:r>
        <w:rPr>
          <w:rFonts w:ascii="Times New Roman" w:eastAsia="SimSun" w:hAnsi="Times New Roman" w:cs="Times New Roman"/>
          <w:bCs/>
          <w:kern w:val="1"/>
          <w:sz w:val="24"/>
          <w:szCs w:val="24"/>
          <w:lang w:eastAsia="hi-IN" w:bidi="hi-IN"/>
        </w:rPr>
        <w:lastRenderedPageBreak/>
        <w:t xml:space="preserve">citizens, companies, or countries. If the case dealt solely with domestic issues, the variable was coded 0. </w:t>
      </w:r>
    </w:p>
    <w:p w14:paraId="0BF8264A" w14:textId="77777777" w:rsidR="000D38F9" w:rsidRDefault="000D38F9" w:rsidP="00E1434C">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Furthermore, I constructed a variable to control for previous references to transnational law in a specific issue area by the Supreme Court. The logic behind the inclusion of </w:t>
      </w:r>
      <w:r>
        <w:rPr>
          <w:rFonts w:ascii="Times New Roman" w:eastAsia="SimSun" w:hAnsi="Times New Roman" w:cs="Times New Roman"/>
          <w:bCs/>
          <w:i/>
          <w:kern w:val="1"/>
          <w:sz w:val="24"/>
          <w:szCs w:val="24"/>
          <w:lang w:eastAsia="hi-IN" w:bidi="hi-IN"/>
        </w:rPr>
        <w:t xml:space="preserve">Previous Citation </w:t>
      </w:r>
      <w:r>
        <w:rPr>
          <w:rFonts w:ascii="Times New Roman" w:eastAsia="SimSun" w:hAnsi="Times New Roman" w:cs="Times New Roman"/>
          <w:bCs/>
          <w:kern w:val="1"/>
          <w:sz w:val="24"/>
          <w:szCs w:val="24"/>
          <w:lang w:eastAsia="hi-IN" w:bidi="hi-IN"/>
        </w:rPr>
        <w:t xml:space="preserve">is that both the Supreme Court and litigants’ and amici briefs might be more likely to rely on foreign and international law authorities if the highest court of the land has signaled that it considers such sources appropriate for the specific issue. To construct this variable, I used the </w:t>
      </w:r>
      <w:r>
        <w:rPr>
          <w:rFonts w:ascii="Times New Roman" w:eastAsia="SimSun" w:hAnsi="Times New Roman" w:cs="Times New Roman"/>
          <w:bCs/>
          <w:i/>
          <w:kern w:val="1"/>
          <w:sz w:val="24"/>
          <w:szCs w:val="24"/>
          <w:lang w:eastAsia="hi-IN" w:bidi="hi-IN"/>
        </w:rPr>
        <w:t xml:space="preserve">Issue </w:t>
      </w:r>
      <w:r>
        <w:rPr>
          <w:rFonts w:ascii="Times New Roman" w:eastAsia="SimSun" w:hAnsi="Times New Roman" w:cs="Times New Roman"/>
          <w:bCs/>
          <w:kern w:val="1"/>
          <w:sz w:val="24"/>
          <w:szCs w:val="24"/>
          <w:lang w:eastAsia="hi-IN" w:bidi="hi-IN"/>
        </w:rPr>
        <w:t xml:space="preserve">variable coded in the Supreme Court Database, </w:t>
      </w:r>
      <w:proofErr w:type="gramStart"/>
      <w:r>
        <w:rPr>
          <w:rFonts w:ascii="Times New Roman" w:eastAsia="SimSun" w:hAnsi="Times New Roman" w:cs="Times New Roman"/>
          <w:bCs/>
          <w:kern w:val="1"/>
          <w:sz w:val="24"/>
          <w:szCs w:val="24"/>
          <w:lang w:eastAsia="hi-IN" w:bidi="hi-IN"/>
        </w:rPr>
        <w:t>so as to</w:t>
      </w:r>
      <w:proofErr w:type="gramEnd"/>
      <w:r>
        <w:rPr>
          <w:rFonts w:ascii="Times New Roman" w:eastAsia="SimSun" w:hAnsi="Times New Roman" w:cs="Times New Roman"/>
          <w:bCs/>
          <w:kern w:val="1"/>
          <w:sz w:val="24"/>
          <w:szCs w:val="24"/>
          <w:lang w:eastAsia="hi-IN" w:bidi="hi-IN"/>
        </w:rPr>
        <w:t xml:space="preserve"> identify the earliest occurrence of transnational communication in each issue. I then coded Previous Citation</w:t>
      </w:r>
      <w:r w:rsidR="00D703E0">
        <w:rPr>
          <w:rFonts w:ascii="Times New Roman" w:eastAsia="SimSun" w:hAnsi="Times New Roman" w:cs="Times New Roman"/>
          <w:bCs/>
          <w:kern w:val="1"/>
          <w:sz w:val="24"/>
          <w:szCs w:val="24"/>
          <w:lang w:eastAsia="hi-IN" w:bidi="hi-IN"/>
        </w:rPr>
        <w:t xml:space="preserve"> as</w:t>
      </w:r>
      <w:r>
        <w:rPr>
          <w:rFonts w:ascii="Times New Roman" w:eastAsia="SimSun" w:hAnsi="Times New Roman" w:cs="Times New Roman"/>
          <w:bCs/>
          <w:kern w:val="1"/>
          <w:sz w:val="24"/>
          <w:szCs w:val="24"/>
          <w:lang w:eastAsia="hi-IN" w:bidi="hi-IN"/>
        </w:rPr>
        <w:t xml:space="preserve"> 1 for all the cases in the same issue area that followed the initial occurrence, and </w:t>
      </w:r>
      <w:r w:rsidR="00D703E0">
        <w:rPr>
          <w:rFonts w:ascii="Times New Roman" w:eastAsia="SimSun" w:hAnsi="Times New Roman" w:cs="Times New Roman"/>
          <w:bCs/>
          <w:kern w:val="1"/>
          <w:sz w:val="24"/>
          <w:szCs w:val="24"/>
          <w:lang w:eastAsia="hi-IN" w:bidi="hi-IN"/>
        </w:rPr>
        <w:t xml:space="preserve">as </w:t>
      </w:r>
      <w:r>
        <w:rPr>
          <w:rFonts w:ascii="Times New Roman" w:eastAsia="SimSun" w:hAnsi="Times New Roman" w:cs="Times New Roman"/>
          <w:bCs/>
          <w:kern w:val="1"/>
          <w:sz w:val="24"/>
          <w:szCs w:val="24"/>
          <w:lang w:eastAsia="hi-IN" w:bidi="hi-IN"/>
        </w:rPr>
        <w:t>0 otherwise. It should be noted here that this variable does not account for the use of foreign and international law in Supreme Court cases that fall outside the range of years covered in this study.</w:t>
      </w:r>
    </w:p>
    <w:p w14:paraId="49E19776" w14:textId="0D54FACA" w:rsidR="000D38F9" w:rsidRDefault="000D38F9" w:rsidP="00E1434C">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To control for t</w:t>
      </w:r>
      <w:r w:rsidR="00E863CB">
        <w:rPr>
          <w:rFonts w:ascii="Times New Roman" w:eastAsia="SimSun" w:hAnsi="Times New Roman" w:cs="Times New Roman"/>
          <w:bCs/>
          <w:kern w:val="1"/>
          <w:sz w:val="24"/>
          <w:szCs w:val="24"/>
          <w:lang w:eastAsia="hi-IN" w:bidi="hi-IN"/>
        </w:rPr>
        <w:t>he effect of</w:t>
      </w:r>
      <w:r>
        <w:rPr>
          <w:rFonts w:ascii="Times New Roman" w:eastAsia="SimSun" w:hAnsi="Times New Roman" w:cs="Times New Roman"/>
          <w:bCs/>
          <w:kern w:val="1"/>
          <w:sz w:val="24"/>
          <w:szCs w:val="24"/>
          <w:lang w:eastAsia="hi-IN" w:bidi="hi-IN"/>
        </w:rPr>
        <w:t xml:space="preserve"> a case</w:t>
      </w:r>
      <w:r w:rsidR="00E863CB">
        <w:rPr>
          <w:rFonts w:ascii="Times New Roman" w:eastAsia="SimSun" w:hAnsi="Times New Roman" w:cs="Times New Roman"/>
          <w:bCs/>
          <w:kern w:val="1"/>
          <w:sz w:val="24"/>
          <w:szCs w:val="24"/>
          <w:lang w:eastAsia="hi-IN" w:bidi="hi-IN"/>
        </w:rPr>
        <w:t>’s importance</w:t>
      </w:r>
      <w:r>
        <w:rPr>
          <w:rFonts w:ascii="Times New Roman" w:eastAsia="SimSun" w:hAnsi="Times New Roman" w:cs="Times New Roman"/>
          <w:bCs/>
          <w:kern w:val="1"/>
          <w:sz w:val="24"/>
          <w:szCs w:val="24"/>
          <w:lang w:eastAsia="hi-IN" w:bidi="hi-IN"/>
        </w:rPr>
        <w:t xml:space="preserve"> on the likelihood of citation, as well as to account for previous explanations of transnational communication, I included in the model two variables coded in the Supreme Court Database, namely, </w:t>
      </w:r>
      <w:r>
        <w:rPr>
          <w:rFonts w:ascii="Times New Roman" w:eastAsia="SimSun" w:hAnsi="Times New Roman" w:cs="Times New Roman"/>
          <w:bCs/>
          <w:i/>
          <w:kern w:val="1"/>
          <w:sz w:val="24"/>
          <w:szCs w:val="24"/>
          <w:lang w:eastAsia="hi-IN" w:bidi="hi-IN"/>
        </w:rPr>
        <w:t xml:space="preserve">Overturn Precedent </w:t>
      </w:r>
      <w:r>
        <w:rPr>
          <w:rFonts w:ascii="Times New Roman" w:eastAsia="SimSun" w:hAnsi="Times New Roman" w:cs="Times New Roman"/>
          <w:bCs/>
          <w:kern w:val="1"/>
          <w:sz w:val="24"/>
          <w:szCs w:val="24"/>
          <w:lang w:eastAsia="hi-IN" w:bidi="hi-IN"/>
        </w:rPr>
        <w:t xml:space="preserve">and </w:t>
      </w:r>
      <w:r>
        <w:rPr>
          <w:rFonts w:ascii="Times New Roman" w:eastAsia="SimSun" w:hAnsi="Times New Roman" w:cs="Times New Roman"/>
          <w:bCs/>
          <w:i/>
          <w:kern w:val="1"/>
          <w:sz w:val="24"/>
          <w:szCs w:val="24"/>
          <w:lang w:eastAsia="hi-IN" w:bidi="hi-IN"/>
        </w:rPr>
        <w:t xml:space="preserve">Judicial Review. </w:t>
      </w:r>
      <w:r>
        <w:rPr>
          <w:rFonts w:ascii="Times New Roman" w:eastAsia="SimSun" w:hAnsi="Times New Roman" w:cs="Times New Roman"/>
          <w:bCs/>
          <w:kern w:val="1"/>
          <w:sz w:val="24"/>
          <w:szCs w:val="24"/>
          <w:lang w:eastAsia="hi-IN" w:bidi="hi-IN"/>
        </w:rPr>
        <w:t xml:space="preserve">Finally, the model includes a </w:t>
      </w:r>
      <w:r>
        <w:rPr>
          <w:rFonts w:ascii="Times New Roman" w:eastAsia="SimSun" w:hAnsi="Times New Roman" w:cs="Times New Roman"/>
          <w:bCs/>
          <w:i/>
          <w:kern w:val="1"/>
          <w:sz w:val="24"/>
          <w:szCs w:val="24"/>
          <w:lang w:eastAsia="hi-IN" w:bidi="hi-IN"/>
        </w:rPr>
        <w:t>Year</w:t>
      </w:r>
      <w:r>
        <w:rPr>
          <w:rFonts w:ascii="Times New Roman" w:eastAsia="SimSun" w:hAnsi="Times New Roman" w:cs="Times New Roman"/>
          <w:bCs/>
          <w:kern w:val="1"/>
          <w:sz w:val="24"/>
          <w:szCs w:val="24"/>
          <w:lang w:eastAsia="hi-IN" w:bidi="hi-IN"/>
        </w:rPr>
        <w:t xml:space="preserve"> variable to control for the proliferation</w:t>
      </w:r>
      <w:r w:rsidR="002B19E7">
        <w:rPr>
          <w:rFonts w:ascii="Times New Roman" w:eastAsia="SimSun" w:hAnsi="Times New Roman" w:cs="Times New Roman"/>
          <w:bCs/>
          <w:kern w:val="1"/>
          <w:sz w:val="24"/>
          <w:szCs w:val="24"/>
          <w:lang w:eastAsia="hi-IN" w:bidi="hi-IN"/>
        </w:rPr>
        <w:t xml:space="preserve"> of the phenomenon, and</w:t>
      </w:r>
      <w:r>
        <w:rPr>
          <w:rFonts w:ascii="Times New Roman" w:eastAsia="SimSun" w:hAnsi="Times New Roman" w:cs="Times New Roman"/>
          <w:bCs/>
          <w:kern w:val="1"/>
          <w:sz w:val="24"/>
          <w:szCs w:val="24"/>
          <w:lang w:eastAsia="hi-IN" w:bidi="hi-IN"/>
        </w:rPr>
        <w:t xml:space="preserve"> </w:t>
      </w:r>
      <w:r w:rsidR="002B19E7">
        <w:rPr>
          <w:rFonts w:ascii="Times New Roman" w:eastAsia="SimSun" w:hAnsi="Times New Roman" w:cs="Times New Roman"/>
          <w:bCs/>
          <w:kern w:val="1"/>
          <w:sz w:val="24"/>
          <w:szCs w:val="24"/>
          <w:lang w:eastAsia="hi-IN" w:bidi="hi-IN"/>
        </w:rPr>
        <w:t xml:space="preserve">a </w:t>
      </w:r>
      <w:r>
        <w:rPr>
          <w:rFonts w:ascii="Times New Roman" w:eastAsia="SimSun" w:hAnsi="Times New Roman" w:cs="Times New Roman"/>
          <w:bCs/>
          <w:kern w:val="1"/>
          <w:sz w:val="24"/>
          <w:szCs w:val="24"/>
          <w:lang w:eastAsia="hi-IN" w:bidi="hi-IN"/>
        </w:rPr>
        <w:t xml:space="preserve">fixed effects </w:t>
      </w:r>
      <w:r w:rsidR="002B19E7">
        <w:rPr>
          <w:rFonts w:ascii="Times New Roman" w:eastAsia="SimSun" w:hAnsi="Times New Roman" w:cs="Times New Roman"/>
          <w:bCs/>
          <w:kern w:val="1"/>
          <w:sz w:val="24"/>
          <w:szCs w:val="24"/>
          <w:lang w:eastAsia="hi-IN" w:bidi="hi-IN"/>
        </w:rPr>
        <w:t>variable controlling for</w:t>
      </w:r>
      <w:r>
        <w:rPr>
          <w:rFonts w:ascii="Times New Roman" w:eastAsia="SimSun" w:hAnsi="Times New Roman" w:cs="Times New Roman"/>
          <w:bCs/>
          <w:kern w:val="1"/>
          <w:sz w:val="24"/>
          <w:szCs w:val="24"/>
          <w:lang w:eastAsia="hi-IN" w:bidi="hi-IN"/>
        </w:rPr>
        <w:t xml:space="preserve"> the aut</w:t>
      </w:r>
      <w:r w:rsidR="002B19E7">
        <w:rPr>
          <w:rFonts w:ascii="Times New Roman" w:eastAsia="SimSun" w:hAnsi="Times New Roman" w:cs="Times New Roman"/>
          <w:bCs/>
          <w:kern w:val="1"/>
          <w:sz w:val="24"/>
          <w:szCs w:val="24"/>
          <w:lang w:eastAsia="hi-IN" w:bidi="hi-IN"/>
        </w:rPr>
        <w:t xml:space="preserve">hor of the majority opinion in </w:t>
      </w:r>
      <w:r>
        <w:rPr>
          <w:rFonts w:ascii="Times New Roman" w:eastAsia="SimSun" w:hAnsi="Times New Roman" w:cs="Times New Roman"/>
          <w:bCs/>
          <w:kern w:val="1"/>
          <w:sz w:val="24"/>
          <w:szCs w:val="24"/>
          <w:lang w:eastAsia="hi-IN" w:bidi="hi-IN"/>
        </w:rPr>
        <w:t>each case.</w:t>
      </w:r>
    </w:p>
    <w:p w14:paraId="1025D80D" w14:textId="77777777" w:rsidR="00C02057" w:rsidRDefault="00C02057" w:rsidP="00E1434C">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p>
    <w:p w14:paraId="6E7C54A5" w14:textId="77777777" w:rsidR="000D38F9" w:rsidRDefault="000D38F9" w:rsidP="00220355">
      <w:pPr>
        <w:widowControl w:val="0"/>
        <w:suppressAutoHyphens/>
        <w:spacing w:after="0" w:line="480" w:lineRule="auto"/>
        <w:rPr>
          <w:rFonts w:ascii="Times New Roman" w:eastAsia="SimSun" w:hAnsi="Times New Roman" w:cs="Times New Roman"/>
          <w:b/>
          <w:bCs/>
          <w:kern w:val="1"/>
          <w:sz w:val="24"/>
          <w:szCs w:val="24"/>
          <w:lang w:eastAsia="hi-IN" w:bidi="hi-IN"/>
        </w:rPr>
      </w:pPr>
      <w:r>
        <w:rPr>
          <w:rFonts w:ascii="Times New Roman" w:eastAsia="SimSun" w:hAnsi="Times New Roman" w:cs="Times New Roman"/>
          <w:b/>
          <w:bCs/>
          <w:kern w:val="1"/>
          <w:sz w:val="24"/>
          <w:szCs w:val="24"/>
          <w:lang w:eastAsia="hi-IN" w:bidi="hi-IN"/>
        </w:rPr>
        <w:t>Results</w:t>
      </w:r>
    </w:p>
    <w:p w14:paraId="32C8226C" w14:textId="77777777" w:rsidR="000D38F9" w:rsidRDefault="000D38F9" w:rsidP="00220355">
      <w:pPr>
        <w:widowControl w:val="0"/>
        <w:suppressAutoHyphens/>
        <w:spacing w:after="0" w:line="480" w:lineRule="auto"/>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Table 1 shows the results of the logit model, which assesses the effect of the use of transnational language on behalf of litigants and friends of the court on the Court opinion</w:t>
      </w:r>
      <w:r w:rsidR="002B19E7">
        <w:rPr>
          <w:rFonts w:ascii="Times New Roman" w:eastAsia="SimSun" w:hAnsi="Times New Roman" w:cs="Times New Roman"/>
          <w:bCs/>
          <w:kern w:val="1"/>
          <w:sz w:val="24"/>
          <w:szCs w:val="24"/>
          <w:lang w:eastAsia="hi-IN" w:bidi="hi-IN"/>
        </w:rPr>
        <w:t>’s</w:t>
      </w:r>
      <w:r>
        <w:rPr>
          <w:rFonts w:ascii="Times New Roman" w:eastAsia="SimSun" w:hAnsi="Times New Roman" w:cs="Times New Roman"/>
          <w:bCs/>
          <w:kern w:val="1"/>
          <w:sz w:val="24"/>
          <w:szCs w:val="24"/>
          <w:lang w:eastAsia="hi-IN" w:bidi="hi-IN"/>
        </w:rPr>
        <w:t xml:space="preserve"> content. </w:t>
      </w:r>
    </w:p>
    <w:p w14:paraId="42DD530A" w14:textId="77777777" w:rsidR="000D38F9" w:rsidRDefault="000D38F9" w:rsidP="00220355">
      <w:pPr>
        <w:widowControl w:val="0"/>
        <w:suppressAutoHyphens/>
        <w:spacing w:after="0" w:line="480" w:lineRule="auto"/>
        <w:jc w:val="center"/>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[TABLE 1 ABOUT HERE]</w:t>
      </w:r>
    </w:p>
    <w:p w14:paraId="3FC77D40" w14:textId="343EDD1D" w:rsidR="000D38F9" w:rsidRDefault="000D38F9"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lastRenderedPageBreak/>
        <w:t>As shown in the results, the Brief Citation and Amicus Citation variables are both statistically significant at the .01 level and are moving in the anticipated positive direction, confirming the two hypotheses of this study. United States Supreme Court Justices are more likely to engage in transnational communication through their written opinions when litigants and amici provide them with information about foreign and international law that is applicable to a case. Furthermore, these results hold tru</w:t>
      </w:r>
      <w:r w:rsidR="001E031B">
        <w:rPr>
          <w:rFonts w:ascii="Times New Roman" w:eastAsia="SimSun" w:hAnsi="Times New Roman" w:cs="Times New Roman"/>
          <w:bCs/>
          <w:kern w:val="1"/>
          <w:sz w:val="24"/>
          <w:szCs w:val="24"/>
          <w:lang w:eastAsia="hi-IN" w:bidi="hi-IN"/>
        </w:rPr>
        <w:t xml:space="preserve">e when </w:t>
      </w:r>
      <w:r>
        <w:rPr>
          <w:rFonts w:ascii="Times New Roman" w:eastAsia="SimSun" w:hAnsi="Times New Roman" w:cs="Times New Roman"/>
          <w:bCs/>
          <w:kern w:val="1"/>
          <w:sz w:val="24"/>
          <w:szCs w:val="24"/>
          <w:lang w:eastAsia="hi-IN" w:bidi="hi-IN"/>
        </w:rPr>
        <w:t>control</w:t>
      </w:r>
      <w:r w:rsidR="001E031B">
        <w:rPr>
          <w:rFonts w:ascii="Times New Roman" w:eastAsia="SimSun" w:hAnsi="Times New Roman" w:cs="Times New Roman"/>
          <w:bCs/>
          <w:kern w:val="1"/>
          <w:sz w:val="24"/>
          <w:szCs w:val="24"/>
          <w:lang w:eastAsia="hi-IN" w:bidi="hi-IN"/>
        </w:rPr>
        <w:t>ling</w:t>
      </w:r>
      <w:r>
        <w:rPr>
          <w:rFonts w:ascii="Times New Roman" w:eastAsia="SimSun" w:hAnsi="Times New Roman" w:cs="Times New Roman"/>
          <w:bCs/>
          <w:kern w:val="1"/>
          <w:sz w:val="24"/>
          <w:szCs w:val="24"/>
          <w:lang w:eastAsia="hi-IN" w:bidi="hi-IN"/>
        </w:rPr>
        <w:t xml:space="preserve"> for other sources</w:t>
      </w:r>
      <w:r w:rsidR="001E031B">
        <w:rPr>
          <w:rFonts w:ascii="Times New Roman" w:eastAsia="SimSun" w:hAnsi="Times New Roman" w:cs="Times New Roman"/>
          <w:bCs/>
          <w:kern w:val="1"/>
          <w:sz w:val="24"/>
          <w:szCs w:val="24"/>
          <w:lang w:eastAsia="hi-IN" w:bidi="hi-IN"/>
        </w:rPr>
        <w:t xml:space="preserve"> of opinion content, such as</w:t>
      </w:r>
      <w:r>
        <w:rPr>
          <w:rFonts w:ascii="Times New Roman" w:eastAsia="SimSun" w:hAnsi="Times New Roman" w:cs="Times New Roman"/>
          <w:bCs/>
          <w:kern w:val="1"/>
          <w:sz w:val="24"/>
          <w:szCs w:val="24"/>
          <w:lang w:eastAsia="hi-IN" w:bidi="hi-IN"/>
        </w:rPr>
        <w:t xml:space="preserve"> inclusion of a transnational citation in the lower court opinion. </w:t>
      </w:r>
    </w:p>
    <w:p w14:paraId="631CD930" w14:textId="77777777" w:rsidR="000D38F9" w:rsidRDefault="000D38F9"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Moving on to the control variables of the model, the findings confirm previous expectations regarding the effect of instances when the Justices engage in judicial review or overturn established precedent on the likelihood of global judicial dialogue. The Overturn Precedent variable is statistically significant at the .01 level and the Judicial Review variable at the .05 level, while they are both moving in the expected positive direction, indicating that the Supreme Court is more likely to rely on foreign and international law citations in cases of increased significance.</w:t>
      </w:r>
    </w:p>
    <w:p w14:paraId="64C4F794" w14:textId="39DD7CD2" w:rsidR="000D38F9" w:rsidRDefault="000D38F9"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The results also provide support to earlier research on the influence of lower court opinions on the Supreme Court opinion</w:t>
      </w:r>
      <w:r w:rsidR="001E031B">
        <w:rPr>
          <w:rFonts w:ascii="Times New Roman" w:eastAsia="SimSun" w:hAnsi="Times New Roman" w:cs="Times New Roman"/>
          <w:bCs/>
          <w:kern w:val="1"/>
          <w:sz w:val="24"/>
          <w:szCs w:val="24"/>
          <w:lang w:eastAsia="hi-IN" w:bidi="hi-IN"/>
        </w:rPr>
        <w:t>’s</w:t>
      </w:r>
      <w:r>
        <w:rPr>
          <w:rFonts w:ascii="Times New Roman" w:eastAsia="SimSun" w:hAnsi="Times New Roman" w:cs="Times New Roman"/>
          <w:bCs/>
          <w:kern w:val="1"/>
          <w:sz w:val="24"/>
          <w:szCs w:val="24"/>
          <w:lang w:eastAsia="hi-IN" w:bidi="hi-IN"/>
        </w:rPr>
        <w:t xml:space="preserve"> content, as the Lower Court Citation variable has a positive coefficient and is statistically significant at the .01 level. Finally, and as expected, the involvement of foreign issues in a case is correlated with an increased chance of a t</w:t>
      </w:r>
      <w:r w:rsidR="00551FF2">
        <w:rPr>
          <w:rFonts w:ascii="Times New Roman" w:eastAsia="SimSun" w:hAnsi="Times New Roman" w:cs="Times New Roman"/>
          <w:bCs/>
          <w:kern w:val="1"/>
          <w:sz w:val="24"/>
          <w:szCs w:val="24"/>
          <w:lang w:eastAsia="hi-IN" w:bidi="hi-IN"/>
        </w:rPr>
        <w:t>ransnational citation appearing</w:t>
      </w:r>
      <w:r>
        <w:rPr>
          <w:rFonts w:ascii="Times New Roman" w:eastAsia="SimSun" w:hAnsi="Times New Roman" w:cs="Times New Roman"/>
          <w:bCs/>
          <w:kern w:val="1"/>
          <w:sz w:val="24"/>
          <w:szCs w:val="24"/>
          <w:lang w:eastAsia="hi-IN" w:bidi="hi-IN"/>
        </w:rPr>
        <w:t xml:space="preserve"> in the court opinion.</w:t>
      </w:r>
    </w:p>
    <w:p w14:paraId="735ACD3E" w14:textId="5488CFE0" w:rsidR="000D38F9" w:rsidRDefault="000D38F9"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proofErr w:type="gramStart"/>
      <w:r>
        <w:rPr>
          <w:rFonts w:ascii="Times New Roman" w:eastAsia="SimSun" w:hAnsi="Times New Roman" w:cs="Times New Roman"/>
          <w:bCs/>
          <w:kern w:val="1"/>
          <w:sz w:val="24"/>
          <w:szCs w:val="24"/>
          <w:lang w:eastAsia="hi-IN" w:bidi="hi-IN"/>
        </w:rPr>
        <w:t>In order to</w:t>
      </w:r>
      <w:proofErr w:type="gramEnd"/>
      <w:r>
        <w:rPr>
          <w:rFonts w:ascii="Times New Roman" w:eastAsia="SimSun" w:hAnsi="Times New Roman" w:cs="Times New Roman"/>
          <w:bCs/>
          <w:kern w:val="1"/>
          <w:sz w:val="24"/>
          <w:szCs w:val="24"/>
          <w:lang w:eastAsia="hi-IN" w:bidi="hi-IN"/>
        </w:rPr>
        <w:t xml:space="preserve"> better understand the magnitude of the effect that the briefs’ foreign and international law citations have on judicial transnational communication, I calculated predicted probabilities for the two independent variables of interest. With all the other variables set to their mean values, when both the parties’ and the amici briefs refer to foreign or international law, the </w:t>
      </w:r>
      <w:r>
        <w:rPr>
          <w:rFonts w:ascii="Times New Roman" w:eastAsia="SimSun" w:hAnsi="Times New Roman" w:cs="Times New Roman"/>
          <w:bCs/>
          <w:kern w:val="1"/>
          <w:sz w:val="24"/>
          <w:szCs w:val="24"/>
          <w:lang w:eastAsia="hi-IN" w:bidi="hi-IN"/>
        </w:rPr>
        <w:lastRenderedPageBreak/>
        <w:t>probability of the Supreme Court relying on transnational sources is 0.15.</w:t>
      </w:r>
      <w:r>
        <w:rPr>
          <w:rStyle w:val="EndnoteReference"/>
          <w:rFonts w:ascii="Times New Roman" w:eastAsia="SimSun" w:hAnsi="Times New Roman" w:cs="Times New Roman"/>
          <w:bCs/>
          <w:kern w:val="1"/>
          <w:sz w:val="24"/>
          <w:szCs w:val="24"/>
          <w:lang w:eastAsia="hi-IN" w:bidi="hi-IN"/>
        </w:rPr>
        <w:endnoteReference w:id="3"/>
      </w:r>
      <w:r>
        <w:rPr>
          <w:rFonts w:ascii="Times New Roman" w:eastAsia="SimSun" w:hAnsi="Times New Roman" w:cs="Times New Roman"/>
          <w:bCs/>
          <w:kern w:val="1"/>
          <w:sz w:val="24"/>
          <w:szCs w:val="24"/>
          <w:lang w:eastAsia="hi-IN" w:bidi="hi-IN"/>
        </w:rPr>
        <w:t xml:space="preserve"> On the contrary, when the briefs cite only domestic sources, the probability of transnational dialogue by the Supreme Court falls to 0.02.</w:t>
      </w:r>
      <w:r>
        <w:rPr>
          <w:rStyle w:val="EndnoteReference"/>
          <w:rFonts w:ascii="Times New Roman" w:eastAsia="SimSun" w:hAnsi="Times New Roman" w:cs="Times New Roman"/>
          <w:bCs/>
          <w:kern w:val="1"/>
          <w:sz w:val="24"/>
          <w:szCs w:val="24"/>
          <w:lang w:eastAsia="hi-IN" w:bidi="hi-IN"/>
        </w:rPr>
        <w:endnoteReference w:id="4"/>
      </w:r>
      <w:r>
        <w:rPr>
          <w:rFonts w:ascii="Times New Roman" w:eastAsia="SimSun" w:hAnsi="Times New Roman" w:cs="Times New Roman"/>
          <w:bCs/>
          <w:kern w:val="1"/>
          <w:sz w:val="24"/>
          <w:szCs w:val="24"/>
          <w:lang w:eastAsia="hi-IN" w:bidi="hi-IN"/>
        </w:rPr>
        <w:t xml:space="preserve"> The citation of fore</w:t>
      </w:r>
      <w:r w:rsidR="00551FF2">
        <w:rPr>
          <w:rFonts w:ascii="Times New Roman" w:eastAsia="SimSun" w:hAnsi="Times New Roman" w:cs="Times New Roman"/>
          <w:bCs/>
          <w:kern w:val="1"/>
          <w:sz w:val="24"/>
          <w:szCs w:val="24"/>
          <w:lang w:eastAsia="hi-IN" w:bidi="hi-IN"/>
        </w:rPr>
        <w:t>ign or international law by</w:t>
      </w:r>
      <w:r>
        <w:rPr>
          <w:rFonts w:ascii="Times New Roman" w:eastAsia="SimSun" w:hAnsi="Times New Roman" w:cs="Times New Roman"/>
          <w:bCs/>
          <w:kern w:val="1"/>
          <w:sz w:val="24"/>
          <w:szCs w:val="24"/>
          <w:lang w:eastAsia="hi-IN" w:bidi="hi-IN"/>
        </w:rPr>
        <w:t xml:space="preserve"> the p</w:t>
      </w:r>
      <w:r w:rsidR="00551FF2">
        <w:rPr>
          <w:rFonts w:ascii="Times New Roman" w:eastAsia="SimSun" w:hAnsi="Times New Roman" w:cs="Times New Roman"/>
          <w:bCs/>
          <w:kern w:val="1"/>
          <w:sz w:val="24"/>
          <w:szCs w:val="24"/>
          <w:lang w:eastAsia="hi-IN" w:bidi="hi-IN"/>
        </w:rPr>
        <w:t>arties or</w:t>
      </w:r>
      <w:r>
        <w:rPr>
          <w:rFonts w:ascii="Times New Roman" w:eastAsia="SimSun" w:hAnsi="Times New Roman" w:cs="Times New Roman"/>
          <w:bCs/>
          <w:kern w:val="1"/>
          <w:sz w:val="24"/>
          <w:szCs w:val="24"/>
          <w:lang w:eastAsia="hi-IN" w:bidi="hi-IN"/>
        </w:rPr>
        <w:t xml:space="preserve"> amici</w:t>
      </w:r>
      <w:r w:rsidR="00551FF2">
        <w:rPr>
          <w:rFonts w:ascii="Times New Roman" w:eastAsia="SimSun" w:hAnsi="Times New Roman" w:cs="Times New Roman"/>
          <w:bCs/>
          <w:kern w:val="1"/>
          <w:sz w:val="24"/>
          <w:szCs w:val="24"/>
          <w:lang w:eastAsia="hi-IN" w:bidi="hi-IN"/>
        </w:rPr>
        <w:t xml:space="preserve"> only</w:t>
      </w:r>
      <w:r>
        <w:rPr>
          <w:rFonts w:ascii="Times New Roman" w:eastAsia="SimSun" w:hAnsi="Times New Roman" w:cs="Times New Roman"/>
          <w:bCs/>
          <w:kern w:val="1"/>
          <w:sz w:val="24"/>
          <w:szCs w:val="24"/>
          <w:lang w:eastAsia="hi-IN" w:bidi="hi-IN"/>
        </w:rPr>
        <w:t xml:space="preserve"> also results to a low probability of Supreme Court citation, namely, 0.05 and 0.06 respectively, when all the other variables are set to their mean values.</w:t>
      </w:r>
      <w:r>
        <w:rPr>
          <w:rStyle w:val="EndnoteReference"/>
          <w:rFonts w:ascii="Times New Roman" w:eastAsia="SimSun" w:hAnsi="Times New Roman" w:cs="Times New Roman"/>
          <w:bCs/>
          <w:kern w:val="1"/>
          <w:sz w:val="24"/>
          <w:szCs w:val="24"/>
          <w:lang w:eastAsia="hi-IN" w:bidi="hi-IN"/>
        </w:rPr>
        <w:endnoteReference w:id="5"/>
      </w:r>
      <w:r>
        <w:rPr>
          <w:rFonts w:ascii="Times New Roman" w:eastAsia="SimSun" w:hAnsi="Times New Roman" w:cs="Times New Roman"/>
          <w:bCs/>
          <w:kern w:val="1"/>
          <w:sz w:val="24"/>
          <w:szCs w:val="24"/>
          <w:lang w:eastAsia="hi-IN" w:bidi="hi-IN"/>
        </w:rPr>
        <w:t xml:space="preserve"> Finally, in cases that deal with domestic issues and with which the court overturns precedent and engages in judicial review, such as </w:t>
      </w:r>
      <w:r>
        <w:rPr>
          <w:rFonts w:ascii="Times New Roman" w:eastAsia="SimSun" w:hAnsi="Times New Roman" w:cs="Times New Roman"/>
          <w:bCs/>
          <w:i/>
          <w:kern w:val="1"/>
          <w:sz w:val="24"/>
          <w:szCs w:val="24"/>
          <w:lang w:eastAsia="hi-IN" w:bidi="hi-IN"/>
        </w:rPr>
        <w:t xml:space="preserve">Roper </w:t>
      </w:r>
      <w:r>
        <w:rPr>
          <w:rFonts w:ascii="Times New Roman" w:eastAsia="SimSun" w:hAnsi="Times New Roman" w:cs="Times New Roman"/>
          <w:bCs/>
          <w:kern w:val="1"/>
          <w:sz w:val="24"/>
          <w:szCs w:val="24"/>
          <w:lang w:eastAsia="hi-IN" w:bidi="hi-IN"/>
        </w:rPr>
        <w:t xml:space="preserve">v. </w:t>
      </w:r>
      <w:r>
        <w:rPr>
          <w:rFonts w:ascii="Times New Roman" w:eastAsia="SimSun" w:hAnsi="Times New Roman" w:cs="Times New Roman"/>
          <w:bCs/>
          <w:i/>
          <w:kern w:val="1"/>
          <w:sz w:val="24"/>
          <w:szCs w:val="24"/>
          <w:lang w:eastAsia="hi-IN" w:bidi="hi-IN"/>
        </w:rPr>
        <w:t xml:space="preserve">Simmons, </w:t>
      </w:r>
      <w:r>
        <w:rPr>
          <w:rFonts w:ascii="Times New Roman" w:eastAsia="SimSun" w:hAnsi="Times New Roman" w:cs="Times New Roman"/>
          <w:bCs/>
          <w:kern w:val="1"/>
          <w:sz w:val="24"/>
          <w:szCs w:val="24"/>
          <w:lang w:eastAsia="hi-IN" w:bidi="hi-IN"/>
        </w:rPr>
        <w:t>reliance on transnational sources by both types of briefs raises the probability of a Supreme Court opinion citation to 0.42, compared to 0.06 when no such reference exists in any of the briefs.</w:t>
      </w:r>
      <w:r>
        <w:rPr>
          <w:rStyle w:val="EndnoteReference"/>
          <w:rFonts w:ascii="Times New Roman" w:eastAsia="SimSun" w:hAnsi="Times New Roman" w:cs="Times New Roman"/>
          <w:bCs/>
          <w:kern w:val="1"/>
          <w:sz w:val="24"/>
          <w:szCs w:val="24"/>
          <w:lang w:eastAsia="hi-IN" w:bidi="hi-IN"/>
        </w:rPr>
        <w:endnoteReference w:id="6"/>
      </w:r>
    </w:p>
    <w:p w14:paraId="7D80B39D" w14:textId="1D3D1F75" w:rsidR="009C4838" w:rsidRDefault="009C4838"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To get a more concrete idea on how transnational citations flow in the American judicial system, I mapped the citations route of the Convention on the Rights of the Child through federal courts and Supreme Court parties’ and amici briefs. I chose to follow the process of this specific international treaty, first, because it was signed in 198</w:t>
      </w:r>
      <w:r w:rsidR="00551FF2">
        <w:rPr>
          <w:rFonts w:ascii="Times New Roman" w:eastAsia="SimSun" w:hAnsi="Times New Roman" w:cs="Times New Roman"/>
          <w:bCs/>
          <w:kern w:val="1"/>
          <w:sz w:val="24"/>
          <w:szCs w:val="24"/>
          <w:lang w:eastAsia="hi-IN" w:bidi="hi-IN"/>
        </w:rPr>
        <w:t xml:space="preserve">9 and took effect in 1990, therefore </w:t>
      </w:r>
      <w:r w:rsidR="00203AAF">
        <w:rPr>
          <w:rFonts w:ascii="Times New Roman" w:eastAsia="SimSun" w:hAnsi="Times New Roman" w:cs="Times New Roman"/>
          <w:bCs/>
          <w:kern w:val="1"/>
          <w:sz w:val="24"/>
          <w:szCs w:val="24"/>
          <w:lang w:eastAsia="hi-IN" w:bidi="hi-IN"/>
        </w:rPr>
        <w:t>it c</w:t>
      </w:r>
      <w:r>
        <w:rPr>
          <w:rFonts w:ascii="Times New Roman" w:eastAsia="SimSun" w:hAnsi="Times New Roman" w:cs="Times New Roman"/>
          <w:bCs/>
          <w:kern w:val="1"/>
          <w:sz w:val="24"/>
          <w:szCs w:val="24"/>
          <w:lang w:eastAsia="hi-IN" w:bidi="hi-IN"/>
        </w:rPr>
        <w:t>ould not</w:t>
      </w:r>
      <w:r w:rsidR="00203AAF">
        <w:rPr>
          <w:rFonts w:ascii="Times New Roman" w:eastAsia="SimSun" w:hAnsi="Times New Roman" w:cs="Times New Roman"/>
          <w:bCs/>
          <w:kern w:val="1"/>
          <w:sz w:val="24"/>
          <w:szCs w:val="24"/>
          <w:lang w:eastAsia="hi-IN" w:bidi="hi-IN"/>
        </w:rPr>
        <w:t xml:space="preserve"> have</w:t>
      </w:r>
      <w:r>
        <w:rPr>
          <w:rFonts w:ascii="Times New Roman" w:eastAsia="SimSun" w:hAnsi="Times New Roman" w:cs="Times New Roman"/>
          <w:bCs/>
          <w:kern w:val="1"/>
          <w:sz w:val="24"/>
          <w:szCs w:val="24"/>
          <w:lang w:eastAsia="hi-IN" w:bidi="hi-IN"/>
        </w:rPr>
        <w:t xml:space="preserve"> be</w:t>
      </w:r>
      <w:r w:rsidR="00203AAF">
        <w:rPr>
          <w:rFonts w:ascii="Times New Roman" w:eastAsia="SimSun" w:hAnsi="Times New Roman" w:cs="Times New Roman"/>
          <w:bCs/>
          <w:kern w:val="1"/>
          <w:sz w:val="24"/>
          <w:szCs w:val="24"/>
          <w:lang w:eastAsia="hi-IN" w:bidi="hi-IN"/>
        </w:rPr>
        <w:t>en</w:t>
      </w:r>
      <w:r>
        <w:rPr>
          <w:rFonts w:ascii="Times New Roman" w:eastAsia="SimSun" w:hAnsi="Times New Roman" w:cs="Times New Roman"/>
          <w:bCs/>
          <w:kern w:val="1"/>
          <w:sz w:val="24"/>
          <w:szCs w:val="24"/>
          <w:lang w:eastAsia="hi-IN" w:bidi="hi-IN"/>
        </w:rPr>
        <w:t xml:space="preserve"> used as an authority in cases falling outside the year range of this study. </w:t>
      </w:r>
      <w:r w:rsidR="00A65E06">
        <w:rPr>
          <w:rFonts w:ascii="Times New Roman" w:eastAsia="SimSun" w:hAnsi="Times New Roman" w:cs="Times New Roman"/>
          <w:bCs/>
          <w:kern w:val="1"/>
          <w:sz w:val="24"/>
          <w:szCs w:val="24"/>
          <w:lang w:eastAsia="hi-IN" w:bidi="hi-IN"/>
        </w:rPr>
        <w:t xml:space="preserve">Second, </w:t>
      </w:r>
      <w:r w:rsidR="00203AAF">
        <w:rPr>
          <w:rFonts w:ascii="Times New Roman" w:eastAsia="SimSun" w:hAnsi="Times New Roman" w:cs="Times New Roman"/>
          <w:bCs/>
          <w:kern w:val="1"/>
          <w:sz w:val="24"/>
          <w:szCs w:val="24"/>
          <w:lang w:eastAsia="hi-IN" w:bidi="hi-IN"/>
        </w:rPr>
        <w:t>because even though</w:t>
      </w:r>
      <w:r w:rsidR="00A65E06">
        <w:rPr>
          <w:rFonts w:ascii="Times New Roman" w:eastAsia="SimSun" w:hAnsi="Times New Roman" w:cs="Times New Roman"/>
          <w:bCs/>
          <w:kern w:val="1"/>
          <w:sz w:val="24"/>
          <w:szCs w:val="24"/>
          <w:lang w:eastAsia="hi-IN" w:bidi="hi-IN"/>
        </w:rPr>
        <w:t xml:space="preserve"> the United States has not ratified the treaty</w:t>
      </w:r>
      <w:r w:rsidR="00203AAF">
        <w:rPr>
          <w:rFonts w:ascii="Times New Roman" w:eastAsia="SimSun" w:hAnsi="Times New Roman" w:cs="Times New Roman"/>
          <w:bCs/>
          <w:kern w:val="1"/>
          <w:sz w:val="24"/>
          <w:szCs w:val="24"/>
          <w:lang w:eastAsia="hi-IN" w:bidi="hi-IN"/>
        </w:rPr>
        <w:t xml:space="preserve"> yet</w:t>
      </w:r>
      <w:r w:rsidR="00A65E06">
        <w:rPr>
          <w:rFonts w:ascii="Times New Roman" w:eastAsia="SimSun" w:hAnsi="Times New Roman" w:cs="Times New Roman"/>
          <w:bCs/>
          <w:kern w:val="1"/>
          <w:sz w:val="24"/>
          <w:szCs w:val="24"/>
          <w:lang w:eastAsia="hi-IN" w:bidi="hi-IN"/>
        </w:rPr>
        <w:t xml:space="preserve">, it has </w:t>
      </w:r>
      <w:r w:rsidR="00203AAF">
        <w:rPr>
          <w:rFonts w:ascii="Times New Roman" w:eastAsia="SimSun" w:hAnsi="Times New Roman" w:cs="Times New Roman"/>
          <w:bCs/>
          <w:kern w:val="1"/>
          <w:sz w:val="24"/>
          <w:szCs w:val="24"/>
          <w:lang w:eastAsia="hi-IN" w:bidi="hi-IN"/>
        </w:rPr>
        <w:t xml:space="preserve">nevertheless </w:t>
      </w:r>
      <w:r w:rsidR="00A65E06">
        <w:rPr>
          <w:rFonts w:ascii="Times New Roman" w:eastAsia="SimSun" w:hAnsi="Times New Roman" w:cs="Times New Roman"/>
          <w:bCs/>
          <w:kern w:val="1"/>
          <w:sz w:val="24"/>
          <w:szCs w:val="24"/>
          <w:lang w:eastAsia="hi-IN" w:bidi="hi-IN"/>
        </w:rPr>
        <w:t>appeared in landmark Supreme Court decisions.</w:t>
      </w:r>
    </w:p>
    <w:p w14:paraId="4D77840C" w14:textId="54325BEB" w:rsidR="00D80FE6" w:rsidRDefault="00A65E06"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The first citations of the Convention on the Rights of the Child occur in the amici briefs submitted by the American Bar Association and by Amnesty International in a 1993 Supreme Court case dealing with the deportation of an alien minor (</w:t>
      </w:r>
      <w:r>
        <w:rPr>
          <w:rFonts w:ascii="Times New Roman" w:eastAsia="SimSun" w:hAnsi="Times New Roman" w:cs="Times New Roman"/>
          <w:bCs/>
          <w:i/>
          <w:kern w:val="1"/>
          <w:sz w:val="24"/>
          <w:szCs w:val="24"/>
          <w:lang w:eastAsia="hi-IN" w:bidi="hi-IN"/>
        </w:rPr>
        <w:t xml:space="preserve">Reno </w:t>
      </w:r>
      <w:r>
        <w:rPr>
          <w:rFonts w:ascii="Times New Roman" w:eastAsia="SimSun" w:hAnsi="Times New Roman" w:cs="Times New Roman"/>
          <w:bCs/>
          <w:kern w:val="1"/>
          <w:sz w:val="24"/>
          <w:szCs w:val="24"/>
          <w:lang w:eastAsia="hi-IN" w:bidi="hi-IN"/>
        </w:rPr>
        <w:t xml:space="preserve">v. </w:t>
      </w:r>
      <w:r>
        <w:rPr>
          <w:rFonts w:ascii="Times New Roman" w:eastAsia="SimSun" w:hAnsi="Times New Roman" w:cs="Times New Roman"/>
          <w:bCs/>
          <w:i/>
          <w:kern w:val="1"/>
          <w:sz w:val="24"/>
          <w:szCs w:val="24"/>
          <w:lang w:eastAsia="hi-IN" w:bidi="hi-IN"/>
        </w:rPr>
        <w:t>Flores</w:t>
      </w:r>
      <w:r w:rsidR="008B1E49">
        <w:rPr>
          <w:rFonts w:ascii="Times New Roman" w:eastAsia="SimSun" w:hAnsi="Times New Roman" w:cs="Times New Roman"/>
          <w:bCs/>
          <w:kern w:val="1"/>
          <w:sz w:val="24"/>
          <w:szCs w:val="24"/>
          <w:lang w:eastAsia="hi-IN" w:bidi="hi-IN"/>
        </w:rPr>
        <w:t xml:space="preserve">), followed by references by the </w:t>
      </w:r>
      <w:r w:rsidR="00203AAF">
        <w:rPr>
          <w:rFonts w:ascii="Times New Roman" w:eastAsia="SimSun" w:hAnsi="Times New Roman" w:cs="Times New Roman"/>
          <w:bCs/>
          <w:kern w:val="1"/>
          <w:sz w:val="24"/>
          <w:szCs w:val="24"/>
          <w:lang w:eastAsia="hi-IN" w:bidi="hi-IN"/>
        </w:rPr>
        <w:t>Seventh and Tenth</w:t>
      </w:r>
      <w:r w:rsidR="008B1E49">
        <w:rPr>
          <w:rFonts w:ascii="Times New Roman" w:eastAsia="SimSun" w:hAnsi="Times New Roman" w:cs="Times New Roman"/>
          <w:bCs/>
          <w:kern w:val="1"/>
          <w:sz w:val="24"/>
          <w:szCs w:val="24"/>
          <w:lang w:eastAsia="hi-IN" w:bidi="hi-IN"/>
        </w:rPr>
        <w:t xml:space="preserve"> Circuit Courts of Appeals in 1994 and 1999 </w:t>
      </w:r>
      <w:r w:rsidR="00203AAF">
        <w:rPr>
          <w:rFonts w:ascii="Times New Roman" w:eastAsia="SimSun" w:hAnsi="Times New Roman" w:cs="Times New Roman"/>
          <w:bCs/>
          <w:kern w:val="1"/>
          <w:sz w:val="24"/>
          <w:szCs w:val="24"/>
          <w:lang w:eastAsia="hi-IN" w:bidi="hi-IN"/>
        </w:rPr>
        <w:t xml:space="preserve">respectively </w:t>
      </w:r>
      <w:r w:rsidR="008B1E49">
        <w:rPr>
          <w:rFonts w:ascii="Times New Roman" w:eastAsia="SimSun" w:hAnsi="Times New Roman" w:cs="Times New Roman"/>
          <w:bCs/>
          <w:kern w:val="1"/>
          <w:sz w:val="24"/>
          <w:szCs w:val="24"/>
          <w:lang w:eastAsia="hi-IN" w:bidi="hi-IN"/>
        </w:rPr>
        <w:t>(</w:t>
      </w:r>
      <w:r w:rsidR="008B1E49" w:rsidRPr="008B1E49">
        <w:rPr>
          <w:rFonts w:ascii="Times New Roman" w:eastAsia="SimSun" w:hAnsi="Times New Roman" w:cs="Times New Roman"/>
          <w:bCs/>
          <w:kern w:val="1"/>
          <w:sz w:val="24"/>
          <w:szCs w:val="24"/>
          <w:lang w:eastAsia="hi-IN" w:bidi="hi-IN"/>
        </w:rPr>
        <w:t>40 F.3d 1139</w:t>
      </w:r>
      <w:r w:rsidR="008B1E49">
        <w:rPr>
          <w:rFonts w:ascii="Times New Roman" w:eastAsia="SimSun" w:hAnsi="Times New Roman" w:cs="Times New Roman"/>
          <w:bCs/>
          <w:kern w:val="1"/>
          <w:sz w:val="24"/>
          <w:szCs w:val="24"/>
          <w:lang w:eastAsia="hi-IN" w:bidi="hi-IN"/>
        </w:rPr>
        <w:t xml:space="preserve"> and </w:t>
      </w:r>
      <w:r w:rsidR="008B1E49" w:rsidRPr="008B1E49">
        <w:rPr>
          <w:rFonts w:ascii="Times New Roman" w:eastAsia="SimSun" w:hAnsi="Times New Roman" w:cs="Times New Roman"/>
          <w:bCs/>
          <w:kern w:val="1"/>
          <w:sz w:val="24"/>
          <w:szCs w:val="24"/>
          <w:lang w:eastAsia="hi-IN" w:bidi="hi-IN"/>
        </w:rPr>
        <w:t>179 F.3d 1066</w:t>
      </w:r>
      <w:r w:rsidR="008B1E49">
        <w:rPr>
          <w:rFonts w:ascii="Times New Roman" w:eastAsia="SimSun" w:hAnsi="Times New Roman" w:cs="Times New Roman"/>
          <w:bCs/>
          <w:kern w:val="1"/>
          <w:sz w:val="24"/>
          <w:szCs w:val="24"/>
          <w:lang w:eastAsia="hi-IN" w:bidi="hi-IN"/>
        </w:rPr>
        <w:t xml:space="preserve">), and a Supreme Court amicus brief by Equality Now in 2001 </w:t>
      </w:r>
      <w:r w:rsidR="00D80FE6">
        <w:rPr>
          <w:rFonts w:ascii="Times New Roman" w:eastAsia="SimSun" w:hAnsi="Times New Roman" w:cs="Times New Roman"/>
          <w:bCs/>
          <w:kern w:val="1"/>
          <w:sz w:val="24"/>
          <w:szCs w:val="24"/>
          <w:lang w:eastAsia="hi-IN" w:bidi="hi-IN"/>
        </w:rPr>
        <w:t>(</w:t>
      </w:r>
      <w:r w:rsidR="00D80FE6">
        <w:rPr>
          <w:rFonts w:ascii="Times New Roman" w:eastAsia="SimSun" w:hAnsi="Times New Roman" w:cs="Times New Roman"/>
          <w:bCs/>
          <w:i/>
          <w:kern w:val="1"/>
          <w:sz w:val="24"/>
          <w:szCs w:val="24"/>
          <w:lang w:eastAsia="hi-IN" w:bidi="hi-IN"/>
        </w:rPr>
        <w:t xml:space="preserve">Nguyen </w:t>
      </w:r>
      <w:r w:rsidR="00D80FE6">
        <w:rPr>
          <w:rFonts w:ascii="Times New Roman" w:eastAsia="SimSun" w:hAnsi="Times New Roman" w:cs="Times New Roman"/>
          <w:bCs/>
          <w:kern w:val="1"/>
          <w:sz w:val="24"/>
          <w:szCs w:val="24"/>
          <w:lang w:eastAsia="hi-IN" w:bidi="hi-IN"/>
        </w:rPr>
        <w:t xml:space="preserve">v. </w:t>
      </w:r>
      <w:r w:rsidR="00D80FE6">
        <w:rPr>
          <w:rFonts w:ascii="Times New Roman" w:eastAsia="SimSun" w:hAnsi="Times New Roman" w:cs="Times New Roman"/>
          <w:bCs/>
          <w:i/>
          <w:kern w:val="1"/>
          <w:sz w:val="24"/>
          <w:szCs w:val="24"/>
          <w:lang w:eastAsia="hi-IN" w:bidi="hi-IN"/>
        </w:rPr>
        <w:t>INS</w:t>
      </w:r>
      <w:r w:rsidR="00D80FE6">
        <w:rPr>
          <w:rFonts w:ascii="Times New Roman" w:eastAsia="SimSun" w:hAnsi="Times New Roman" w:cs="Times New Roman"/>
          <w:bCs/>
          <w:kern w:val="1"/>
          <w:sz w:val="24"/>
          <w:szCs w:val="24"/>
          <w:lang w:eastAsia="hi-IN" w:bidi="hi-IN"/>
        </w:rPr>
        <w:t>), all in deportation cases</w:t>
      </w:r>
      <w:r w:rsidR="008B1E49">
        <w:rPr>
          <w:rFonts w:ascii="Times New Roman" w:eastAsia="SimSun" w:hAnsi="Times New Roman" w:cs="Times New Roman"/>
          <w:bCs/>
          <w:kern w:val="1"/>
          <w:sz w:val="24"/>
          <w:szCs w:val="24"/>
          <w:lang w:eastAsia="hi-IN" w:bidi="hi-IN"/>
        </w:rPr>
        <w:t>.</w:t>
      </w:r>
      <w:r w:rsidR="00D80FE6">
        <w:rPr>
          <w:rFonts w:ascii="Times New Roman" w:eastAsia="SimSun" w:hAnsi="Times New Roman" w:cs="Times New Roman"/>
          <w:bCs/>
          <w:kern w:val="1"/>
          <w:sz w:val="24"/>
          <w:szCs w:val="24"/>
          <w:lang w:eastAsia="hi-IN" w:bidi="hi-IN"/>
        </w:rPr>
        <w:t xml:space="preserve"> Between 1989 and 2005, when the Supreme Court first cited the Convention in </w:t>
      </w:r>
      <w:r w:rsidR="00D80FE6">
        <w:rPr>
          <w:rFonts w:ascii="Times New Roman" w:eastAsia="SimSun" w:hAnsi="Times New Roman" w:cs="Times New Roman"/>
          <w:bCs/>
          <w:i/>
          <w:kern w:val="1"/>
          <w:sz w:val="24"/>
          <w:szCs w:val="24"/>
          <w:lang w:eastAsia="hi-IN" w:bidi="hi-IN"/>
        </w:rPr>
        <w:t xml:space="preserve">Roper </w:t>
      </w:r>
      <w:r w:rsidR="00D80FE6">
        <w:rPr>
          <w:rFonts w:ascii="Times New Roman" w:eastAsia="SimSun" w:hAnsi="Times New Roman" w:cs="Times New Roman"/>
          <w:bCs/>
          <w:kern w:val="1"/>
          <w:sz w:val="24"/>
          <w:szCs w:val="24"/>
          <w:lang w:eastAsia="hi-IN" w:bidi="hi-IN"/>
        </w:rPr>
        <w:t xml:space="preserve">v. </w:t>
      </w:r>
      <w:r w:rsidR="00D80FE6" w:rsidRPr="00D80FE6">
        <w:rPr>
          <w:rFonts w:ascii="Times New Roman" w:eastAsia="SimSun" w:hAnsi="Times New Roman" w:cs="Times New Roman"/>
          <w:bCs/>
          <w:i/>
          <w:kern w:val="1"/>
          <w:sz w:val="24"/>
          <w:szCs w:val="24"/>
          <w:lang w:eastAsia="hi-IN" w:bidi="hi-IN"/>
        </w:rPr>
        <w:t>Simmons</w:t>
      </w:r>
      <w:r w:rsidR="00DD6A18">
        <w:rPr>
          <w:rFonts w:ascii="Times New Roman" w:eastAsia="SimSun" w:hAnsi="Times New Roman" w:cs="Times New Roman"/>
          <w:bCs/>
          <w:kern w:val="1"/>
          <w:sz w:val="24"/>
          <w:szCs w:val="24"/>
          <w:lang w:eastAsia="hi-IN" w:bidi="hi-IN"/>
        </w:rPr>
        <w:t>, the treaty wa</w:t>
      </w:r>
      <w:r w:rsidR="00D80FE6">
        <w:rPr>
          <w:rFonts w:ascii="Times New Roman" w:eastAsia="SimSun" w:hAnsi="Times New Roman" w:cs="Times New Roman"/>
          <w:bCs/>
          <w:kern w:val="1"/>
          <w:sz w:val="24"/>
          <w:szCs w:val="24"/>
          <w:lang w:eastAsia="hi-IN" w:bidi="hi-IN"/>
        </w:rPr>
        <w:t xml:space="preserve">s cited in 15 federal district and circuit </w:t>
      </w:r>
      <w:r w:rsidR="00D80FE6">
        <w:rPr>
          <w:rFonts w:ascii="Times New Roman" w:eastAsia="SimSun" w:hAnsi="Times New Roman" w:cs="Times New Roman"/>
          <w:bCs/>
          <w:kern w:val="1"/>
          <w:sz w:val="24"/>
          <w:szCs w:val="24"/>
          <w:lang w:eastAsia="hi-IN" w:bidi="hi-IN"/>
        </w:rPr>
        <w:lastRenderedPageBreak/>
        <w:t>court cases</w:t>
      </w:r>
      <w:r w:rsidR="00DD6C1E">
        <w:rPr>
          <w:rFonts w:ascii="Times New Roman" w:eastAsia="SimSun" w:hAnsi="Times New Roman" w:cs="Times New Roman"/>
          <w:bCs/>
          <w:kern w:val="1"/>
          <w:sz w:val="24"/>
          <w:szCs w:val="24"/>
          <w:lang w:eastAsia="hi-IN" w:bidi="hi-IN"/>
        </w:rPr>
        <w:t xml:space="preserve"> and two Supreme Court amici briefs</w:t>
      </w:r>
      <w:r w:rsidR="00D80FE6">
        <w:rPr>
          <w:rFonts w:ascii="Times New Roman" w:eastAsia="SimSun" w:hAnsi="Times New Roman" w:cs="Times New Roman"/>
          <w:bCs/>
          <w:kern w:val="1"/>
          <w:sz w:val="24"/>
          <w:szCs w:val="24"/>
          <w:lang w:eastAsia="hi-IN" w:bidi="hi-IN"/>
        </w:rPr>
        <w:t xml:space="preserve"> relating to immigration law and violations of human rights abroad.</w:t>
      </w:r>
    </w:p>
    <w:p w14:paraId="7D119D7E" w14:textId="53E8AC74" w:rsidR="00DD6C1E" w:rsidRDefault="00D80FE6"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i/>
          <w:kern w:val="1"/>
          <w:sz w:val="24"/>
          <w:szCs w:val="24"/>
          <w:lang w:eastAsia="hi-IN" w:bidi="hi-IN"/>
        </w:rPr>
        <w:t xml:space="preserve"> </w:t>
      </w:r>
      <w:r>
        <w:rPr>
          <w:rFonts w:ascii="Times New Roman" w:eastAsia="SimSun" w:hAnsi="Times New Roman" w:cs="Times New Roman"/>
          <w:bCs/>
          <w:kern w:val="1"/>
          <w:sz w:val="24"/>
          <w:szCs w:val="24"/>
          <w:lang w:eastAsia="hi-IN" w:bidi="hi-IN"/>
        </w:rPr>
        <w:t xml:space="preserve">During the same time frame, the Convention </w:t>
      </w:r>
      <w:r w:rsidR="00DD6A18">
        <w:rPr>
          <w:rFonts w:ascii="Times New Roman" w:eastAsia="SimSun" w:hAnsi="Times New Roman" w:cs="Times New Roman"/>
          <w:bCs/>
          <w:kern w:val="1"/>
          <w:sz w:val="24"/>
          <w:szCs w:val="24"/>
          <w:lang w:eastAsia="hi-IN" w:bidi="hi-IN"/>
        </w:rPr>
        <w:t>started</w:t>
      </w:r>
      <w:r w:rsidR="00DD6C1E">
        <w:rPr>
          <w:rFonts w:ascii="Times New Roman" w:eastAsia="SimSun" w:hAnsi="Times New Roman" w:cs="Times New Roman"/>
          <w:bCs/>
          <w:kern w:val="1"/>
          <w:sz w:val="24"/>
          <w:szCs w:val="24"/>
          <w:lang w:eastAsia="hi-IN" w:bidi="hi-IN"/>
        </w:rPr>
        <w:t xml:space="preserve"> appearing</w:t>
      </w:r>
      <w:r>
        <w:rPr>
          <w:rFonts w:ascii="Times New Roman" w:eastAsia="SimSun" w:hAnsi="Times New Roman" w:cs="Times New Roman"/>
          <w:bCs/>
          <w:kern w:val="1"/>
          <w:sz w:val="24"/>
          <w:szCs w:val="24"/>
          <w:lang w:eastAsia="hi-IN" w:bidi="hi-IN"/>
        </w:rPr>
        <w:t xml:space="preserve"> in a </w:t>
      </w:r>
      <w:r w:rsidR="00DD6C1E">
        <w:rPr>
          <w:rFonts w:ascii="Times New Roman" w:eastAsia="SimSun" w:hAnsi="Times New Roman" w:cs="Times New Roman"/>
          <w:bCs/>
          <w:kern w:val="1"/>
          <w:sz w:val="24"/>
          <w:szCs w:val="24"/>
          <w:lang w:eastAsia="hi-IN" w:bidi="hi-IN"/>
        </w:rPr>
        <w:t>small number of cases</w:t>
      </w:r>
      <w:r>
        <w:rPr>
          <w:rFonts w:ascii="Times New Roman" w:eastAsia="SimSun" w:hAnsi="Times New Roman" w:cs="Times New Roman"/>
          <w:bCs/>
          <w:kern w:val="1"/>
          <w:sz w:val="24"/>
          <w:szCs w:val="24"/>
          <w:lang w:eastAsia="hi-IN" w:bidi="hi-IN"/>
        </w:rPr>
        <w:t xml:space="preserve"> relating to domestic issues</w:t>
      </w:r>
      <w:r w:rsidR="00DD6C1E">
        <w:rPr>
          <w:rFonts w:ascii="Times New Roman" w:eastAsia="SimSun" w:hAnsi="Times New Roman" w:cs="Times New Roman"/>
          <w:bCs/>
          <w:kern w:val="1"/>
          <w:sz w:val="24"/>
          <w:szCs w:val="24"/>
          <w:lang w:eastAsia="hi-IN" w:bidi="hi-IN"/>
        </w:rPr>
        <w:t>, first</w:t>
      </w:r>
      <w:r>
        <w:rPr>
          <w:rFonts w:ascii="Times New Roman" w:eastAsia="SimSun" w:hAnsi="Times New Roman" w:cs="Times New Roman"/>
          <w:bCs/>
          <w:kern w:val="1"/>
          <w:sz w:val="24"/>
          <w:szCs w:val="24"/>
          <w:lang w:eastAsia="hi-IN" w:bidi="hi-IN"/>
        </w:rPr>
        <w:t xml:space="preserve"> in 1999, when the </w:t>
      </w:r>
      <w:r w:rsidR="00DD6A18">
        <w:rPr>
          <w:rFonts w:ascii="Times New Roman" w:eastAsia="SimSun" w:hAnsi="Times New Roman" w:cs="Times New Roman"/>
          <w:bCs/>
          <w:kern w:val="1"/>
          <w:sz w:val="24"/>
          <w:szCs w:val="24"/>
          <w:lang w:eastAsia="hi-IN" w:bidi="hi-IN"/>
        </w:rPr>
        <w:t>Seventh</w:t>
      </w:r>
      <w:r>
        <w:rPr>
          <w:rFonts w:ascii="Times New Roman" w:eastAsia="SimSun" w:hAnsi="Times New Roman" w:cs="Times New Roman"/>
          <w:bCs/>
          <w:kern w:val="1"/>
          <w:sz w:val="24"/>
          <w:szCs w:val="24"/>
          <w:lang w:eastAsia="hi-IN" w:bidi="hi-IN"/>
        </w:rPr>
        <w:t xml:space="preserve"> Circuit</w:t>
      </w:r>
      <w:r w:rsidR="00DD6C1E">
        <w:rPr>
          <w:rFonts w:ascii="Times New Roman" w:eastAsia="SimSun" w:hAnsi="Times New Roman" w:cs="Times New Roman"/>
          <w:bCs/>
          <w:kern w:val="1"/>
          <w:sz w:val="24"/>
          <w:szCs w:val="24"/>
          <w:lang w:eastAsia="hi-IN" w:bidi="hi-IN"/>
        </w:rPr>
        <w:t xml:space="preserve"> Court of Appeals referred to it in a discussion on childhood disability services (</w:t>
      </w:r>
      <w:r w:rsidR="00DD6C1E" w:rsidRPr="00DD6C1E">
        <w:rPr>
          <w:rFonts w:ascii="Times New Roman" w:eastAsia="SimSun" w:hAnsi="Times New Roman" w:cs="Times New Roman"/>
          <w:bCs/>
          <w:kern w:val="1"/>
          <w:sz w:val="24"/>
          <w:szCs w:val="24"/>
          <w:lang w:eastAsia="hi-IN" w:bidi="hi-IN"/>
        </w:rPr>
        <w:t>179 F.3d 1066</w:t>
      </w:r>
      <w:r w:rsidR="00DD6C1E">
        <w:rPr>
          <w:rFonts w:ascii="Times New Roman" w:eastAsia="SimSun" w:hAnsi="Times New Roman" w:cs="Times New Roman"/>
          <w:bCs/>
          <w:kern w:val="1"/>
          <w:sz w:val="24"/>
          <w:szCs w:val="24"/>
          <w:lang w:eastAsia="hi-IN" w:bidi="hi-IN"/>
        </w:rPr>
        <w:t xml:space="preserve">), and in </w:t>
      </w:r>
      <w:r>
        <w:rPr>
          <w:rFonts w:ascii="Times New Roman" w:eastAsia="SimSun" w:hAnsi="Times New Roman" w:cs="Times New Roman"/>
          <w:bCs/>
          <w:kern w:val="1"/>
          <w:sz w:val="24"/>
          <w:szCs w:val="24"/>
          <w:lang w:eastAsia="hi-IN" w:bidi="hi-IN"/>
        </w:rPr>
        <w:t>2002,</w:t>
      </w:r>
      <w:r w:rsidR="008B1E49">
        <w:rPr>
          <w:rFonts w:ascii="Times New Roman" w:eastAsia="SimSun" w:hAnsi="Times New Roman" w:cs="Times New Roman"/>
          <w:bCs/>
          <w:kern w:val="1"/>
          <w:sz w:val="24"/>
          <w:szCs w:val="24"/>
          <w:lang w:eastAsia="hi-IN" w:bidi="hi-IN"/>
        </w:rPr>
        <w:t xml:space="preserve"> in</w:t>
      </w:r>
      <w:r w:rsidR="00DD6C1E">
        <w:rPr>
          <w:rFonts w:ascii="Times New Roman" w:eastAsia="SimSun" w:hAnsi="Times New Roman" w:cs="Times New Roman"/>
          <w:bCs/>
          <w:kern w:val="1"/>
          <w:sz w:val="24"/>
          <w:szCs w:val="24"/>
          <w:lang w:eastAsia="hi-IN" w:bidi="hi-IN"/>
        </w:rPr>
        <w:t xml:space="preserve"> the U.S. District Court for the Eastern District of New York, in</w:t>
      </w:r>
      <w:r w:rsidR="008B1E49">
        <w:rPr>
          <w:rFonts w:ascii="Times New Roman" w:eastAsia="SimSun" w:hAnsi="Times New Roman" w:cs="Times New Roman"/>
          <w:bCs/>
          <w:kern w:val="1"/>
          <w:sz w:val="24"/>
          <w:szCs w:val="24"/>
          <w:lang w:eastAsia="hi-IN" w:bidi="hi-IN"/>
        </w:rPr>
        <w:t xml:space="preserve"> its considerations</w:t>
      </w:r>
      <w:r w:rsidR="00DD6C1E">
        <w:rPr>
          <w:rFonts w:ascii="Times New Roman" w:eastAsia="SimSun" w:hAnsi="Times New Roman" w:cs="Times New Roman"/>
          <w:bCs/>
          <w:kern w:val="1"/>
          <w:sz w:val="24"/>
          <w:szCs w:val="24"/>
          <w:lang w:eastAsia="hi-IN" w:bidi="hi-IN"/>
        </w:rPr>
        <w:t xml:space="preserve"> </w:t>
      </w:r>
      <w:r w:rsidR="008B1E49">
        <w:rPr>
          <w:rFonts w:ascii="Times New Roman" w:eastAsia="SimSun" w:hAnsi="Times New Roman" w:cs="Times New Roman"/>
          <w:bCs/>
          <w:kern w:val="1"/>
          <w:sz w:val="24"/>
          <w:szCs w:val="24"/>
          <w:lang w:eastAsia="hi-IN" w:bidi="hi-IN"/>
        </w:rPr>
        <w:t>regarding the removal of children of battered mothers</w:t>
      </w:r>
      <w:r>
        <w:rPr>
          <w:rFonts w:ascii="Times New Roman" w:eastAsia="SimSun" w:hAnsi="Times New Roman" w:cs="Times New Roman"/>
          <w:bCs/>
          <w:kern w:val="1"/>
          <w:sz w:val="24"/>
          <w:szCs w:val="24"/>
          <w:lang w:eastAsia="hi-IN" w:bidi="hi-IN"/>
        </w:rPr>
        <w:t xml:space="preserve"> </w:t>
      </w:r>
      <w:r w:rsidR="008B1E49">
        <w:rPr>
          <w:rFonts w:ascii="Times New Roman" w:eastAsia="SimSun" w:hAnsi="Times New Roman" w:cs="Times New Roman"/>
          <w:bCs/>
          <w:kern w:val="1"/>
          <w:sz w:val="24"/>
          <w:szCs w:val="24"/>
          <w:lang w:eastAsia="hi-IN" w:bidi="hi-IN"/>
        </w:rPr>
        <w:t>(</w:t>
      </w:r>
      <w:r w:rsidR="008B1E49" w:rsidRPr="008B1E49">
        <w:rPr>
          <w:rFonts w:ascii="Times New Roman" w:eastAsia="SimSun" w:hAnsi="Times New Roman" w:cs="Times New Roman"/>
          <w:bCs/>
          <w:kern w:val="1"/>
          <w:sz w:val="24"/>
          <w:szCs w:val="24"/>
          <w:lang w:eastAsia="hi-IN" w:bidi="hi-IN"/>
        </w:rPr>
        <w:t>203 F. Supp. 2d 153</w:t>
      </w:r>
      <w:r w:rsidR="008B1E49">
        <w:rPr>
          <w:rFonts w:ascii="Times New Roman" w:eastAsia="SimSun" w:hAnsi="Times New Roman" w:cs="Times New Roman"/>
          <w:bCs/>
          <w:kern w:val="1"/>
          <w:sz w:val="24"/>
          <w:szCs w:val="24"/>
          <w:lang w:eastAsia="hi-IN" w:bidi="hi-IN"/>
        </w:rPr>
        <w:t>).</w:t>
      </w:r>
      <w:r w:rsidR="00DD6A18">
        <w:rPr>
          <w:rFonts w:ascii="Times New Roman" w:eastAsia="SimSun" w:hAnsi="Times New Roman" w:cs="Times New Roman"/>
          <w:bCs/>
          <w:kern w:val="1"/>
          <w:sz w:val="24"/>
          <w:szCs w:val="24"/>
          <w:lang w:eastAsia="hi-IN" w:bidi="hi-IN"/>
        </w:rPr>
        <w:t xml:space="preserve"> In 2003, the Convention was</w:t>
      </w:r>
      <w:r w:rsidR="00DD6C1E">
        <w:rPr>
          <w:rFonts w:ascii="Times New Roman" w:eastAsia="SimSun" w:hAnsi="Times New Roman" w:cs="Times New Roman"/>
          <w:bCs/>
          <w:kern w:val="1"/>
          <w:sz w:val="24"/>
          <w:szCs w:val="24"/>
          <w:lang w:eastAsia="hi-IN" w:bidi="hi-IN"/>
        </w:rPr>
        <w:t xml:space="preserve"> cited for the first time in a domestic issue at the Supreme Court, in an amicus brief filed by Amnesty International, in </w:t>
      </w:r>
      <w:r w:rsidR="00DD6C1E">
        <w:rPr>
          <w:rFonts w:ascii="Times New Roman" w:eastAsia="SimSun" w:hAnsi="Times New Roman" w:cs="Times New Roman"/>
          <w:bCs/>
          <w:i/>
          <w:kern w:val="1"/>
          <w:sz w:val="24"/>
          <w:szCs w:val="24"/>
          <w:lang w:eastAsia="hi-IN" w:bidi="hi-IN"/>
        </w:rPr>
        <w:t xml:space="preserve">Lawrence </w:t>
      </w:r>
      <w:r w:rsidR="00DD6C1E">
        <w:rPr>
          <w:rFonts w:ascii="Times New Roman" w:eastAsia="SimSun" w:hAnsi="Times New Roman" w:cs="Times New Roman"/>
          <w:bCs/>
          <w:kern w:val="1"/>
          <w:sz w:val="24"/>
          <w:szCs w:val="24"/>
          <w:lang w:eastAsia="hi-IN" w:bidi="hi-IN"/>
        </w:rPr>
        <w:t xml:space="preserve">v. </w:t>
      </w:r>
      <w:r w:rsidR="00DD6C1E">
        <w:rPr>
          <w:rFonts w:ascii="Times New Roman" w:eastAsia="SimSun" w:hAnsi="Times New Roman" w:cs="Times New Roman"/>
          <w:bCs/>
          <w:i/>
          <w:kern w:val="1"/>
          <w:sz w:val="24"/>
          <w:szCs w:val="24"/>
          <w:lang w:eastAsia="hi-IN" w:bidi="hi-IN"/>
        </w:rPr>
        <w:t>Texas</w:t>
      </w:r>
      <w:r w:rsidR="00DD6C1E">
        <w:rPr>
          <w:rFonts w:ascii="Times New Roman" w:eastAsia="SimSun" w:hAnsi="Times New Roman" w:cs="Times New Roman"/>
          <w:bCs/>
          <w:kern w:val="1"/>
          <w:sz w:val="24"/>
          <w:szCs w:val="24"/>
          <w:lang w:eastAsia="hi-IN" w:bidi="hi-IN"/>
        </w:rPr>
        <w:t xml:space="preserve">. </w:t>
      </w:r>
    </w:p>
    <w:p w14:paraId="27D3E283" w14:textId="77777777" w:rsidR="009E19EC" w:rsidRDefault="00DD6C1E"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While the U.S. Supreme Court engaged in transnational communication in </w:t>
      </w:r>
      <w:r>
        <w:rPr>
          <w:rFonts w:ascii="Times New Roman" w:eastAsia="SimSun" w:hAnsi="Times New Roman" w:cs="Times New Roman"/>
          <w:bCs/>
          <w:i/>
          <w:kern w:val="1"/>
          <w:sz w:val="24"/>
          <w:szCs w:val="24"/>
          <w:lang w:eastAsia="hi-IN" w:bidi="hi-IN"/>
        </w:rPr>
        <w:t xml:space="preserve">Lawrence </w:t>
      </w:r>
      <w:r>
        <w:rPr>
          <w:rFonts w:ascii="Times New Roman" w:eastAsia="SimSun" w:hAnsi="Times New Roman" w:cs="Times New Roman"/>
          <w:bCs/>
          <w:kern w:val="1"/>
          <w:sz w:val="24"/>
          <w:szCs w:val="24"/>
          <w:lang w:eastAsia="hi-IN" w:bidi="hi-IN"/>
        </w:rPr>
        <w:t xml:space="preserve">v. </w:t>
      </w:r>
      <w:r>
        <w:rPr>
          <w:rFonts w:ascii="Times New Roman" w:eastAsia="SimSun" w:hAnsi="Times New Roman" w:cs="Times New Roman"/>
          <w:bCs/>
          <w:i/>
          <w:kern w:val="1"/>
          <w:sz w:val="24"/>
          <w:szCs w:val="24"/>
          <w:lang w:eastAsia="hi-IN" w:bidi="hi-IN"/>
        </w:rPr>
        <w:t>Texas</w:t>
      </w:r>
      <w:r>
        <w:rPr>
          <w:rFonts w:ascii="Times New Roman" w:eastAsia="SimSun" w:hAnsi="Times New Roman" w:cs="Times New Roman"/>
          <w:bCs/>
          <w:kern w:val="1"/>
          <w:sz w:val="24"/>
          <w:szCs w:val="24"/>
          <w:lang w:eastAsia="hi-IN" w:bidi="hi-IN"/>
        </w:rPr>
        <w:t xml:space="preserve">, it did not include the Convention in its opinion. </w:t>
      </w:r>
      <w:r w:rsidR="009E19EC">
        <w:rPr>
          <w:rFonts w:ascii="Times New Roman" w:eastAsia="SimSun" w:hAnsi="Times New Roman" w:cs="Times New Roman"/>
          <w:bCs/>
          <w:kern w:val="1"/>
          <w:sz w:val="24"/>
          <w:szCs w:val="24"/>
          <w:lang w:eastAsia="hi-IN" w:bidi="hi-IN"/>
        </w:rPr>
        <w:t xml:space="preserve">Two years later, however, Justice Kennedy with his opinion in </w:t>
      </w:r>
      <w:r w:rsidR="009E19EC">
        <w:rPr>
          <w:rFonts w:ascii="Times New Roman" w:eastAsia="SimSun" w:hAnsi="Times New Roman" w:cs="Times New Roman"/>
          <w:bCs/>
          <w:i/>
          <w:kern w:val="1"/>
          <w:sz w:val="24"/>
          <w:szCs w:val="24"/>
          <w:lang w:eastAsia="hi-IN" w:bidi="hi-IN"/>
        </w:rPr>
        <w:t xml:space="preserve">Roper </w:t>
      </w:r>
      <w:r w:rsidR="009E19EC">
        <w:rPr>
          <w:rFonts w:ascii="Times New Roman" w:eastAsia="SimSun" w:hAnsi="Times New Roman" w:cs="Times New Roman"/>
          <w:bCs/>
          <w:kern w:val="1"/>
          <w:sz w:val="24"/>
          <w:szCs w:val="24"/>
          <w:lang w:eastAsia="hi-IN" w:bidi="hi-IN"/>
        </w:rPr>
        <w:t xml:space="preserve">v. </w:t>
      </w:r>
      <w:r w:rsidR="009E19EC">
        <w:rPr>
          <w:rFonts w:ascii="Times New Roman" w:eastAsia="SimSun" w:hAnsi="Times New Roman" w:cs="Times New Roman"/>
          <w:bCs/>
          <w:i/>
          <w:kern w:val="1"/>
          <w:sz w:val="24"/>
          <w:szCs w:val="24"/>
          <w:lang w:eastAsia="hi-IN" w:bidi="hi-IN"/>
        </w:rPr>
        <w:t>Simmons</w:t>
      </w:r>
      <w:r w:rsidR="009E19EC">
        <w:rPr>
          <w:rFonts w:ascii="Times New Roman" w:eastAsia="SimSun" w:hAnsi="Times New Roman" w:cs="Times New Roman"/>
          <w:bCs/>
          <w:kern w:val="1"/>
          <w:sz w:val="24"/>
          <w:szCs w:val="24"/>
          <w:lang w:eastAsia="hi-IN" w:bidi="hi-IN"/>
        </w:rPr>
        <w:t>, added the treaty to an increasing list of international authorities the Court has used. In this case, both the respondent brief and several amici had asked the Court to include the Convention in its consideration of the case.</w:t>
      </w:r>
    </w:p>
    <w:p w14:paraId="06A57942" w14:textId="63ED6A28" w:rsidR="00274774" w:rsidRDefault="00C11EB5"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xml:space="preserve">After </w:t>
      </w:r>
      <w:r>
        <w:rPr>
          <w:rFonts w:ascii="Times New Roman" w:eastAsia="SimSun" w:hAnsi="Times New Roman" w:cs="Times New Roman"/>
          <w:bCs/>
          <w:i/>
          <w:kern w:val="1"/>
          <w:sz w:val="24"/>
          <w:szCs w:val="24"/>
          <w:lang w:eastAsia="hi-IN" w:bidi="hi-IN"/>
        </w:rPr>
        <w:t xml:space="preserve">Roper </w:t>
      </w:r>
      <w:r>
        <w:rPr>
          <w:rFonts w:ascii="Times New Roman" w:eastAsia="SimSun" w:hAnsi="Times New Roman" w:cs="Times New Roman"/>
          <w:bCs/>
          <w:kern w:val="1"/>
          <w:sz w:val="24"/>
          <w:szCs w:val="24"/>
          <w:lang w:eastAsia="hi-IN" w:bidi="hi-IN"/>
        </w:rPr>
        <w:t xml:space="preserve">v. </w:t>
      </w:r>
      <w:r>
        <w:rPr>
          <w:rFonts w:ascii="Times New Roman" w:eastAsia="SimSun" w:hAnsi="Times New Roman" w:cs="Times New Roman"/>
          <w:bCs/>
          <w:i/>
          <w:kern w:val="1"/>
          <w:sz w:val="24"/>
          <w:szCs w:val="24"/>
          <w:lang w:eastAsia="hi-IN" w:bidi="hi-IN"/>
        </w:rPr>
        <w:t>Simmons</w:t>
      </w:r>
      <w:r>
        <w:rPr>
          <w:rFonts w:ascii="Times New Roman" w:eastAsia="SimSun" w:hAnsi="Times New Roman" w:cs="Times New Roman"/>
          <w:bCs/>
          <w:kern w:val="1"/>
          <w:sz w:val="24"/>
          <w:szCs w:val="24"/>
          <w:lang w:eastAsia="hi-IN" w:bidi="hi-IN"/>
        </w:rPr>
        <w:t>, citations of the Convention in</w:t>
      </w:r>
      <w:r w:rsidR="00DD6A18">
        <w:rPr>
          <w:rFonts w:ascii="Times New Roman" w:eastAsia="SimSun" w:hAnsi="Times New Roman" w:cs="Times New Roman"/>
          <w:bCs/>
          <w:kern w:val="1"/>
          <w:sz w:val="24"/>
          <w:szCs w:val="24"/>
          <w:lang w:eastAsia="hi-IN" w:bidi="hi-IN"/>
        </w:rPr>
        <w:t xml:space="preserve"> amici briefs steadily increase; the authority has been</w:t>
      </w:r>
      <w:r>
        <w:rPr>
          <w:rFonts w:ascii="Times New Roman" w:eastAsia="SimSun" w:hAnsi="Times New Roman" w:cs="Times New Roman"/>
          <w:bCs/>
          <w:kern w:val="1"/>
          <w:sz w:val="24"/>
          <w:szCs w:val="24"/>
          <w:lang w:eastAsia="hi-IN" w:bidi="hi-IN"/>
        </w:rPr>
        <w:t xml:space="preserve"> utilized in cases ranging from the interpretation of the </w:t>
      </w:r>
      <w:r w:rsidR="00DD6A18">
        <w:rPr>
          <w:rFonts w:ascii="Times New Roman" w:eastAsia="SimSun" w:hAnsi="Times New Roman" w:cs="Times New Roman"/>
          <w:bCs/>
          <w:kern w:val="1"/>
          <w:sz w:val="24"/>
          <w:szCs w:val="24"/>
          <w:lang w:eastAsia="hi-IN" w:bidi="hi-IN"/>
        </w:rPr>
        <w:t>14</w:t>
      </w:r>
      <w:r w:rsidR="00DD6A18" w:rsidRPr="00DD6A18">
        <w:rPr>
          <w:rFonts w:ascii="Times New Roman" w:eastAsia="SimSun" w:hAnsi="Times New Roman" w:cs="Times New Roman"/>
          <w:bCs/>
          <w:kern w:val="1"/>
          <w:sz w:val="24"/>
          <w:szCs w:val="24"/>
          <w:vertAlign w:val="superscript"/>
          <w:lang w:eastAsia="hi-IN" w:bidi="hi-IN"/>
        </w:rPr>
        <w:t>th</w:t>
      </w:r>
      <w:r w:rsidR="00DD6A18">
        <w:rPr>
          <w:rFonts w:ascii="Times New Roman" w:eastAsia="SimSun" w:hAnsi="Times New Roman" w:cs="Times New Roman"/>
          <w:bCs/>
          <w:kern w:val="1"/>
          <w:sz w:val="24"/>
          <w:szCs w:val="24"/>
          <w:lang w:eastAsia="hi-IN" w:bidi="hi-IN"/>
        </w:rPr>
        <w:t xml:space="preserve"> </w:t>
      </w:r>
      <w:r>
        <w:rPr>
          <w:rFonts w:ascii="Times New Roman" w:eastAsia="SimSun" w:hAnsi="Times New Roman" w:cs="Times New Roman"/>
          <w:bCs/>
          <w:kern w:val="1"/>
          <w:sz w:val="24"/>
          <w:szCs w:val="24"/>
          <w:lang w:eastAsia="hi-IN" w:bidi="hi-IN"/>
        </w:rPr>
        <w:t xml:space="preserve">Amendment, to abortion, to same sex marriage, and from friends of the court diverging from the National Association of Evangelicals </w:t>
      </w:r>
      <w:r w:rsidR="00274774">
        <w:rPr>
          <w:rFonts w:ascii="Times New Roman" w:eastAsia="SimSun" w:hAnsi="Times New Roman" w:cs="Times New Roman"/>
          <w:bCs/>
          <w:kern w:val="1"/>
          <w:sz w:val="24"/>
          <w:szCs w:val="24"/>
          <w:lang w:eastAsia="hi-IN" w:bidi="hi-IN"/>
        </w:rPr>
        <w:t>to Human Rights First and international law scholars. The next Supreme Court moment for the Convent</w:t>
      </w:r>
      <w:r w:rsidR="00DD6A18">
        <w:rPr>
          <w:rFonts w:ascii="Times New Roman" w:eastAsia="SimSun" w:hAnsi="Times New Roman" w:cs="Times New Roman"/>
          <w:bCs/>
          <w:kern w:val="1"/>
          <w:sz w:val="24"/>
          <w:szCs w:val="24"/>
          <w:lang w:eastAsia="hi-IN" w:bidi="hi-IN"/>
        </w:rPr>
        <w:t>ion arrived</w:t>
      </w:r>
      <w:r w:rsidR="00274774">
        <w:rPr>
          <w:rFonts w:ascii="Times New Roman" w:eastAsia="SimSun" w:hAnsi="Times New Roman" w:cs="Times New Roman"/>
          <w:bCs/>
          <w:kern w:val="1"/>
          <w:sz w:val="24"/>
          <w:szCs w:val="24"/>
          <w:lang w:eastAsia="hi-IN" w:bidi="hi-IN"/>
        </w:rPr>
        <w:t xml:space="preserve"> in 2010, when the Court found that life imprisonment without parole for juveniles was a violation of the 8</w:t>
      </w:r>
      <w:r w:rsidR="00274774" w:rsidRPr="00274774">
        <w:rPr>
          <w:rFonts w:ascii="Times New Roman" w:eastAsia="SimSun" w:hAnsi="Times New Roman" w:cs="Times New Roman"/>
          <w:bCs/>
          <w:kern w:val="1"/>
          <w:sz w:val="24"/>
          <w:szCs w:val="24"/>
          <w:vertAlign w:val="superscript"/>
          <w:lang w:eastAsia="hi-IN" w:bidi="hi-IN"/>
        </w:rPr>
        <w:t>th</w:t>
      </w:r>
      <w:r w:rsidR="00274774">
        <w:rPr>
          <w:rFonts w:ascii="Times New Roman" w:eastAsia="SimSun" w:hAnsi="Times New Roman" w:cs="Times New Roman"/>
          <w:bCs/>
          <w:kern w:val="1"/>
          <w:sz w:val="24"/>
          <w:szCs w:val="24"/>
          <w:lang w:eastAsia="hi-IN" w:bidi="hi-IN"/>
        </w:rPr>
        <w:t xml:space="preserve"> Amendment (</w:t>
      </w:r>
      <w:r w:rsidR="00274774">
        <w:rPr>
          <w:rFonts w:ascii="Times New Roman" w:eastAsia="SimSun" w:hAnsi="Times New Roman" w:cs="Times New Roman"/>
          <w:bCs/>
          <w:i/>
          <w:kern w:val="1"/>
          <w:sz w:val="24"/>
          <w:szCs w:val="24"/>
          <w:lang w:eastAsia="hi-IN" w:bidi="hi-IN"/>
        </w:rPr>
        <w:t xml:space="preserve">Graham </w:t>
      </w:r>
      <w:r w:rsidR="00274774">
        <w:rPr>
          <w:rFonts w:ascii="Times New Roman" w:eastAsia="SimSun" w:hAnsi="Times New Roman" w:cs="Times New Roman"/>
          <w:bCs/>
          <w:kern w:val="1"/>
          <w:sz w:val="24"/>
          <w:szCs w:val="24"/>
          <w:lang w:eastAsia="hi-IN" w:bidi="hi-IN"/>
        </w:rPr>
        <w:t xml:space="preserve">v. </w:t>
      </w:r>
      <w:r w:rsidR="00274774">
        <w:rPr>
          <w:rFonts w:ascii="Times New Roman" w:eastAsia="SimSun" w:hAnsi="Times New Roman" w:cs="Times New Roman"/>
          <w:bCs/>
          <w:i/>
          <w:kern w:val="1"/>
          <w:sz w:val="24"/>
          <w:szCs w:val="24"/>
          <w:lang w:eastAsia="hi-IN" w:bidi="hi-IN"/>
        </w:rPr>
        <w:t>Florida</w:t>
      </w:r>
      <w:r w:rsidR="00274774">
        <w:rPr>
          <w:rFonts w:ascii="Times New Roman" w:eastAsia="SimSun" w:hAnsi="Times New Roman" w:cs="Times New Roman"/>
          <w:bCs/>
          <w:kern w:val="1"/>
          <w:sz w:val="24"/>
          <w:szCs w:val="24"/>
          <w:lang w:eastAsia="hi-IN" w:bidi="hi-IN"/>
        </w:rPr>
        <w:t>). In his o</w:t>
      </w:r>
      <w:r w:rsidR="00DD6A18">
        <w:rPr>
          <w:rFonts w:ascii="Times New Roman" w:eastAsia="SimSun" w:hAnsi="Times New Roman" w:cs="Times New Roman"/>
          <w:bCs/>
          <w:kern w:val="1"/>
          <w:sz w:val="24"/>
          <w:szCs w:val="24"/>
          <w:lang w:eastAsia="hi-IN" w:bidi="hi-IN"/>
        </w:rPr>
        <w:t>pinion, Justice Kennedy mentioned</w:t>
      </w:r>
      <w:r w:rsidR="00274774">
        <w:rPr>
          <w:rFonts w:ascii="Times New Roman" w:eastAsia="SimSun" w:hAnsi="Times New Roman" w:cs="Times New Roman"/>
          <w:bCs/>
          <w:kern w:val="1"/>
          <w:sz w:val="24"/>
          <w:szCs w:val="24"/>
          <w:lang w:eastAsia="hi-IN" w:bidi="hi-IN"/>
        </w:rPr>
        <w:t xml:space="preserve"> that both the petitioner and several of the amici, including the American Bar Association, the Center for Law and Justice, and the American Association of Jewish Lawyers, refe</w:t>
      </w:r>
      <w:r w:rsidR="00DD6A18">
        <w:rPr>
          <w:rFonts w:ascii="Times New Roman" w:eastAsia="SimSun" w:hAnsi="Times New Roman" w:cs="Times New Roman"/>
          <w:bCs/>
          <w:kern w:val="1"/>
          <w:sz w:val="24"/>
          <w:szCs w:val="24"/>
          <w:lang w:eastAsia="hi-IN" w:bidi="hi-IN"/>
        </w:rPr>
        <w:t>r</w:t>
      </w:r>
      <w:r w:rsidR="00274774">
        <w:rPr>
          <w:rFonts w:ascii="Times New Roman" w:eastAsia="SimSun" w:hAnsi="Times New Roman" w:cs="Times New Roman"/>
          <w:bCs/>
          <w:kern w:val="1"/>
          <w:sz w:val="24"/>
          <w:szCs w:val="24"/>
          <w:lang w:eastAsia="hi-IN" w:bidi="hi-IN"/>
        </w:rPr>
        <w:t>r</w:t>
      </w:r>
      <w:r w:rsidR="00DD6A18">
        <w:rPr>
          <w:rFonts w:ascii="Times New Roman" w:eastAsia="SimSun" w:hAnsi="Times New Roman" w:cs="Times New Roman"/>
          <w:bCs/>
          <w:kern w:val="1"/>
          <w:sz w:val="24"/>
          <w:szCs w:val="24"/>
          <w:lang w:eastAsia="hi-IN" w:bidi="hi-IN"/>
        </w:rPr>
        <w:t>ed</w:t>
      </w:r>
      <w:r w:rsidR="00274774">
        <w:rPr>
          <w:rFonts w:ascii="Times New Roman" w:eastAsia="SimSun" w:hAnsi="Times New Roman" w:cs="Times New Roman"/>
          <w:bCs/>
          <w:kern w:val="1"/>
          <w:sz w:val="24"/>
          <w:szCs w:val="24"/>
          <w:lang w:eastAsia="hi-IN" w:bidi="hi-IN"/>
        </w:rPr>
        <w:t xml:space="preserve"> to the Convention in their briefs.</w:t>
      </w:r>
    </w:p>
    <w:p w14:paraId="15299F43" w14:textId="16DE14D6" w:rsidR="00844D5E" w:rsidRDefault="00274774"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lastRenderedPageBreak/>
        <w:t>Th</w:t>
      </w:r>
      <w:r w:rsidR="000D5A8C">
        <w:rPr>
          <w:rFonts w:ascii="Times New Roman" w:eastAsia="SimSun" w:hAnsi="Times New Roman" w:cs="Times New Roman"/>
          <w:bCs/>
          <w:kern w:val="1"/>
          <w:sz w:val="24"/>
          <w:szCs w:val="24"/>
          <w:lang w:eastAsia="hi-IN" w:bidi="hi-IN"/>
        </w:rPr>
        <w:t>e path of</w:t>
      </w:r>
      <w:r>
        <w:rPr>
          <w:rFonts w:ascii="Times New Roman" w:eastAsia="SimSun" w:hAnsi="Times New Roman" w:cs="Times New Roman"/>
          <w:bCs/>
          <w:kern w:val="1"/>
          <w:sz w:val="24"/>
          <w:szCs w:val="24"/>
          <w:lang w:eastAsia="hi-IN" w:bidi="hi-IN"/>
        </w:rPr>
        <w:t xml:space="preserve"> citations of the Convention on the Rights of the Child by different actors of the American legal system supports the statistical findings suggesting that Supreme Court Justices make use of the information provided to them by others in the process of global judicial dialogue. At least when it comes to the specific international instrument, the Convention first made its way into the American system in amici briefs, one of them submitted by</w:t>
      </w:r>
      <w:r w:rsidR="00A31EB9">
        <w:rPr>
          <w:rFonts w:ascii="Times New Roman" w:eastAsia="SimSun" w:hAnsi="Times New Roman" w:cs="Times New Roman"/>
          <w:bCs/>
          <w:kern w:val="1"/>
          <w:sz w:val="24"/>
          <w:szCs w:val="24"/>
          <w:lang w:eastAsia="hi-IN" w:bidi="hi-IN"/>
        </w:rPr>
        <w:t xml:space="preserve"> an international organization, while</w:t>
      </w:r>
      <w:r w:rsidR="00844D5E">
        <w:rPr>
          <w:rFonts w:ascii="Times New Roman" w:eastAsia="SimSun" w:hAnsi="Times New Roman" w:cs="Times New Roman"/>
          <w:bCs/>
          <w:kern w:val="1"/>
          <w:sz w:val="24"/>
          <w:szCs w:val="24"/>
          <w:lang w:eastAsia="hi-IN" w:bidi="hi-IN"/>
        </w:rPr>
        <w:t xml:space="preserve"> the two times </w:t>
      </w:r>
      <w:r w:rsidR="00A31EB9">
        <w:rPr>
          <w:rFonts w:ascii="Times New Roman" w:eastAsia="SimSun" w:hAnsi="Times New Roman" w:cs="Times New Roman"/>
          <w:bCs/>
          <w:kern w:val="1"/>
          <w:sz w:val="24"/>
          <w:szCs w:val="24"/>
          <w:lang w:eastAsia="hi-IN" w:bidi="hi-IN"/>
        </w:rPr>
        <w:t xml:space="preserve">when </w:t>
      </w:r>
      <w:r w:rsidR="00844D5E">
        <w:rPr>
          <w:rFonts w:ascii="Times New Roman" w:eastAsia="SimSun" w:hAnsi="Times New Roman" w:cs="Times New Roman"/>
          <w:bCs/>
          <w:kern w:val="1"/>
          <w:sz w:val="24"/>
          <w:szCs w:val="24"/>
          <w:lang w:eastAsia="hi-IN" w:bidi="hi-IN"/>
        </w:rPr>
        <w:t>the Supreme Court included the Convention in its opinion language, parties and amici had discussed the treaty in their briefs.</w:t>
      </w:r>
    </w:p>
    <w:p w14:paraId="60D20C5D" w14:textId="77777777" w:rsidR="00C02057" w:rsidRDefault="00C02057" w:rsidP="00220355">
      <w:pPr>
        <w:widowControl w:val="0"/>
        <w:suppressAutoHyphens/>
        <w:spacing w:after="0" w:line="480" w:lineRule="auto"/>
        <w:ind w:firstLine="432"/>
        <w:rPr>
          <w:rFonts w:ascii="Times New Roman" w:eastAsia="SimSun" w:hAnsi="Times New Roman" w:cs="Times New Roman"/>
          <w:bCs/>
          <w:kern w:val="1"/>
          <w:sz w:val="24"/>
          <w:szCs w:val="24"/>
          <w:lang w:eastAsia="hi-IN" w:bidi="hi-IN"/>
        </w:rPr>
      </w:pPr>
    </w:p>
    <w:p w14:paraId="78CF8F59" w14:textId="77777777" w:rsidR="00844D5E" w:rsidRDefault="00844D5E" w:rsidP="00844D5E">
      <w:pPr>
        <w:widowControl w:val="0"/>
        <w:suppressAutoHyphens/>
        <w:spacing w:after="0" w:line="480" w:lineRule="auto"/>
        <w:rPr>
          <w:rFonts w:ascii="Times New Roman" w:eastAsia="SimSun" w:hAnsi="Times New Roman" w:cs="Times New Roman"/>
          <w:bCs/>
          <w:kern w:val="1"/>
          <w:sz w:val="24"/>
          <w:szCs w:val="24"/>
          <w:lang w:eastAsia="hi-IN" w:bidi="hi-IN"/>
        </w:rPr>
      </w:pPr>
      <w:r>
        <w:rPr>
          <w:rFonts w:ascii="Times New Roman" w:eastAsia="SimSun" w:hAnsi="Times New Roman" w:cs="Times New Roman"/>
          <w:b/>
          <w:bCs/>
          <w:kern w:val="1"/>
          <w:sz w:val="24"/>
          <w:szCs w:val="24"/>
          <w:lang w:eastAsia="hi-IN" w:bidi="hi-IN"/>
        </w:rPr>
        <w:t>Discussion</w:t>
      </w:r>
      <w:r w:rsidR="00274774">
        <w:rPr>
          <w:rFonts w:ascii="Times New Roman" w:eastAsia="SimSun" w:hAnsi="Times New Roman" w:cs="Times New Roman"/>
          <w:bCs/>
          <w:kern w:val="1"/>
          <w:sz w:val="24"/>
          <w:szCs w:val="24"/>
          <w:lang w:eastAsia="hi-IN" w:bidi="hi-IN"/>
        </w:rPr>
        <w:t xml:space="preserve"> </w:t>
      </w:r>
      <w:r w:rsidR="00C11EB5">
        <w:rPr>
          <w:rFonts w:ascii="Times New Roman" w:eastAsia="SimSun" w:hAnsi="Times New Roman" w:cs="Times New Roman"/>
          <w:bCs/>
          <w:kern w:val="1"/>
          <w:sz w:val="24"/>
          <w:szCs w:val="24"/>
          <w:lang w:eastAsia="hi-IN" w:bidi="hi-IN"/>
        </w:rPr>
        <w:t xml:space="preserve"> </w:t>
      </w:r>
      <w:r w:rsidR="00DD6C1E">
        <w:rPr>
          <w:rFonts w:ascii="Times New Roman" w:eastAsia="SimSun" w:hAnsi="Times New Roman" w:cs="Times New Roman"/>
          <w:bCs/>
          <w:kern w:val="1"/>
          <w:sz w:val="24"/>
          <w:szCs w:val="24"/>
          <w:lang w:eastAsia="hi-IN" w:bidi="hi-IN"/>
        </w:rPr>
        <w:t xml:space="preserve"> </w:t>
      </w:r>
      <w:r w:rsidR="008B1E49">
        <w:rPr>
          <w:rFonts w:ascii="Times New Roman" w:eastAsia="SimSun" w:hAnsi="Times New Roman" w:cs="Times New Roman"/>
          <w:bCs/>
          <w:kern w:val="1"/>
          <w:sz w:val="24"/>
          <w:szCs w:val="24"/>
          <w:lang w:eastAsia="hi-IN" w:bidi="hi-IN"/>
        </w:rPr>
        <w:t xml:space="preserve">  </w:t>
      </w:r>
    </w:p>
    <w:p w14:paraId="4DBB4A82" w14:textId="57FD9100" w:rsidR="00E22C6D" w:rsidRDefault="00844D5E" w:rsidP="00844D5E">
      <w:pPr>
        <w:widowControl w:val="0"/>
        <w:suppressAutoHyphens/>
        <w:spacing w:after="0" w:line="480" w:lineRule="auto"/>
        <w:rPr>
          <w:rFonts w:ascii="Times New Roman" w:hAnsi="Times New Roman" w:cs="Times New Roman"/>
          <w:sz w:val="24"/>
          <w:szCs w:val="24"/>
        </w:rPr>
      </w:pPr>
      <w:r>
        <w:rPr>
          <w:rFonts w:ascii="Times New Roman" w:hAnsi="Times New Roman" w:cs="Times New Roman"/>
          <w:sz w:val="24"/>
          <w:szCs w:val="24"/>
        </w:rPr>
        <w:t>The analysis</w:t>
      </w:r>
      <w:r w:rsidR="00975189" w:rsidRPr="00975189">
        <w:rPr>
          <w:rFonts w:ascii="Times New Roman" w:hAnsi="Times New Roman" w:cs="Times New Roman"/>
          <w:sz w:val="24"/>
          <w:szCs w:val="24"/>
        </w:rPr>
        <w:t xml:space="preserve"> of the citation of foreign and international law in domestic court opinions in this paper began with the mention of Justice Kennedy’s address of the Convention on the Rights of the Child in the high-profile case </w:t>
      </w:r>
      <w:r w:rsidR="00975189" w:rsidRPr="00975189">
        <w:rPr>
          <w:rFonts w:ascii="Times New Roman" w:hAnsi="Times New Roman" w:cs="Times New Roman"/>
          <w:i/>
          <w:sz w:val="24"/>
          <w:szCs w:val="24"/>
        </w:rPr>
        <w:t>Roper v. Simmons</w:t>
      </w:r>
      <w:r w:rsidR="00975189" w:rsidRPr="00975189">
        <w:rPr>
          <w:rFonts w:ascii="Times New Roman" w:hAnsi="Times New Roman" w:cs="Times New Roman"/>
          <w:sz w:val="24"/>
          <w:szCs w:val="24"/>
        </w:rPr>
        <w:t xml:space="preserve">, a case where the Supreme Court engaged in judicial review, overturned </w:t>
      </w:r>
      <w:proofErr w:type="gramStart"/>
      <w:r w:rsidR="00975189" w:rsidRPr="00975189">
        <w:rPr>
          <w:rFonts w:ascii="Times New Roman" w:hAnsi="Times New Roman" w:cs="Times New Roman"/>
          <w:sz w:val="24"/>
          <w:szCs w:val="24"/>
        </w:rPr>
        <w:t>precedent</w:t>
      </w:r>
      <w:proofErr w:type="gramEnd"/>
      <w:r w:rsidR="00975189" w:rsidRPr="00975189">
        <w:rPr>
          <w:rFonts w:ascii="Times New Roman" w:hAnsi="Times New Roman" w:cs="Times New Roman"/>
          <w:sz w:val="24"/>
          <w:szCs w:val="24"/>
        </w:rPr>
        <w:t xml:space="preserve"> and made an ideologically divisive decision.</w:t>
      </w:r>
      <w:r w:rsidR="0050654B">
        <w:rPr>
          <w:rFonts w:ascii="Times New Roman" w:hAnsi="Times New Roman" w:cs="Times New Roman"/>
          <w:sz w:val="24"/>
          <w:szCs w:val="24"/>
        </w:rPr>
        <w:t xml:space="preserve"> While it is only natural for transnational communication to gain attention by its use in Supreme Court opin</w:t>
      </w:r>
      <w:r w:rsidR="00A31EB9">
        <w:rPr>
          <w:rFonts w:ascii="Times New Roman" w:hAnsi="Times New Roman" w:cs="Times New Roman"/>
          <w:sz w:val="24"/>
          <w:szCs w:val="24"/>
        </w:rPr>
        <w:t>ions in landmark cases like these</w:t>
      </w:r>
      <w:r w:rsidR="0050654B">
        <w:rPr>
          <w:rFonts w:ascii="Times New Roman" w:hAnsi="Times New Roman" w:cs="Times New Roman"/>
          <w:sz w:val="24"/>
          <w:szCs w:val="24"/>
        </w:rPr>
        <w:t xml:space="preserve">, the findings of this study indicate that Supreme Court Justices are </w:t>
      </w:r>
      <w:r w:rsidR="0017331A">
        <w:rPr>
          <w:rFonts w:ascii="Times New Roman" w:hAnsi="Times New Roman" w:cs="Times New Roman"/>
          <w:sz w:val="24"/>
          <w:szCs w:val="24"/>
        </w:rPr>
        <w:t>not the only significant actors participating</w:t>
      </w:r>
      <w:r w:rsidR="0050654B">
        <w:rPr>
          <w:rFonts w:ascii="Times New Roman" w:hAnsi="Times New Roman" w:cs="Times New Roman"/>
          <w:sz w:val="24"/>
          <w:szCs w:val="24"/>
        </w:rPr>
        <w:t xml:space="preserve"> in the process of judicial globalization. </w:t>
      </w:r>
      <w:r w:rsidR="00C60E20">
        <w:rPr>
          <w:rFonts w:ascii="Times New Roman" w:hAnsi="Times New Roman" w:cs="Times New Roman"/>
          <w:sz w:val="24"/>
          <w:szCs w:val="24"/>
        </w:rPr>
        <w:t>Litigants and friends of the court, through their briefs, provide the Just</w:t>
      </w:r>
      <w:r w:rsidR="0017331A">
        <w:rPr>
          <w:rFonts w:ascii="Times New Roman" w:hAnsi="Times New Roman" w:cs="Times New Roman"/>
          <w:sz w:val="24"/>
          <w:szCs w:val="24"/>
        </w:rPr>
        <w:t>ices with information, therefore</w:t>
      </w:r>
      <w:r w:rsidR="00C60E20">
        <w:rPr>
          <w:rFonts w:ascii="Times New Roman" w:hAnsi="Times New Roman" w:cs="Times New Roman"/>
          <w:sz w:val="24"/>
          <w:szCs w:val="24"/>
        </w:rPr>
        <w:t xml:space="preserve"> ena</w:t>
      </w:r>
      <w:r w:rsidR="0017331A">
        <w:rPr>
          <w:rFonts w:ascii="Times New Roman" w:hAnsi="Times New Roman" w:cs="Times New Roman"/>
          <w:sz w:val="24"/>
          <w:szCs w:val="24"/>
        </w:rPr>
        <w:t>bling</w:t>
      </w:r>
      <w:r w:rsidR="00C60E20">
        <w:rPr>
          <w:rFonts w:ascii="Times New Roman" w:hAnsi="Times New Roman" w:cs="Times New Roman"/>
          <w:sz w:val="24"/>
          <w:szCs w:val="24"/>
        </w:rPr>
        <w:t xml:space="preserve"> the Court to engage in transnational dialogue.</w:t>
      </w:r>
    </w:p>
    <w:p w14:paraId="25263CC3" w14:textId="37430A70" w:rsidR="00EC4996" w:rsidRDefault="00C60E20" w:rsidP="00EC4996">
      <w:pPr>
        <w:widowControl w:val="0"/>
        <w:suppressAutoHyphens/>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As this is the first study that assesses the effect of the briefs’ language on Supreme Cou</w:t>
      </w:r>
      <w:r w:rsidR="003E4792">
        <w:rPr>
          <w:rFonts w:ascii="Times New Roman" w:hAnsi="Times New Roman" w:cs="Times New Roman"/>
          <w:sz w:val="24"/>
          <w:szCs w:val="24"/>
        </w:rPr>
        <w:t>rt opinion content related</w:t>
      </w:r>
      <w:r>
        <w:rPr>
          <w:rFonts w:ascii="Times New Roman" w:hAnsi="Times New Roman" w:cs="Times New Roman"/>
          <w:sz w:val="24"/>
          <w:szCs w:val="24"/>
        </w:rPr>
        <w:t xml:space="preserve"> to </w:t>
      </w:r>
      <w:r w:rsidR="00EC4996">
        <w:rPr>
          <w:rFonts w:ascii="Times New Roman" w:hAnsi="Times New Roman" w:cs="Times New Roman"/>
          <w:sz w:val="24"/>
          <w:szCs w:val="24"/>
        </w:rPr>
        <w:t>global judicial dialogue, there are numerous avenues for future research. First, a case study analys</w:t>
      </w:r>
      <w:r w:rsidR="003E4792">
        <w:rPr>
          <w:rFonts w:ascii="Times New Roman" w:hAnsi="Times New Roman" w:cs="Times New Roman"/>
          <w:sz w:val="24"/>
          <w:szCs w:val="24"/>
        </w:rPr>
        <w:t xml:space="preserve">is </w:t>
      </w:r>
      <w:proofErr w:type="gramStart"/>
      <w:r w:rsidR="003E4792">
        <w:rPr>
          <w:rFonts w:ascii="Times New Roman" w:hAnsi="Times New Roman" w:cs="Times New Roman"/>
          <w:sz w:val="24"/>
          <w:szCs w:val="24"/>
        </w:rPr>
        <w:t>similar to</w:t>
      </w:r>
      <w:proofErr w:type="gramEnd"/>
      <w:r w:rsidR="003E4792">
        <w:rPr>
          <w:rFonts w:ascii="Times New Roman" w:hAnsi="Times New Roman" w:cs="Times New Roman"/>
          <w:sz w:val="24"/>
          <w:szCs w:val="24"/>
        </w:rPr>
        <w:t xml:space="preserve"> the one presented </w:t>
      </w:r>
      <w:r w:rsidR="00EC4996">
        <w:rPr>
          <w:rFonts w:ascii="Times New Roman" w:hAnsi="Times New Roman" w:cs="Times New Roman"/>
          <w:sz w:val="24"/>
          <w:szCs w:val="24"/>
        </w:rPr>
        <w:t xml:space="preserve">here </w:t>
      </w:r>
      <w:r w:rsidR="003E4792">
        <w:rPr>
          <w:rFonts w:ascii="Times New Roman" w:hAnsi="Times New Roman" w:cs="Times New Roman"/>
          <w:sz w:val="24"/>
          <w:szCs w:val="24"/>
        </w:rPr>
        <w:t xml:space="preserve">focusing </w:t>
      </w:r>
      <w:r w:rsidR="00EC4996">
        <w:rPr>
          <w:rFonts w:ascii="Times New Roman" w:hAnsi="Times New Roman" w:cs="Times New Roman"/>
          <w:sz w:val="24"/>
          <w:szCs w:val="24"/>
        </w:rPr>
        <w:t>on the Convention on the Rights of the Child could show whether other treaties follow the same route of diffusion, by entering the American legal system throu</w:t>
      </w:r>
      <w:r w:rsidR="003E4792">
        <w:rPr>
          <w:rFonts w:ascii="Times New Roman" w:hAnsi="Times New Roman" w:cs="Times New Roman"/>
          <w:sz w:val="24"/>
          <w:szCs w:val="24"/>
        </w:rPr>
        <w:t>gh the merits briefs. Such case</w:t>
      </w:r>
      <w:r w:rsidR="00EC4996">
        <w:rPr>
          <w:rFonts w:ascii="Times New Roman" w:hAnsi="Times New Roman" w:cs="Times New Roman"/>
          <w:sz w:val="24"/>
          <w:szCs w:val="24"/>
        </w:rPr>
        <w:t xml:space="preserve"> studies </w:t>
      </w:r>
      <w:r w:rsidR="00EC4996">
        <w:rPr>
          <w:rFonts w:ascii="Times New Roman" w:hAnsi="Times New Roman" w:cs="Times New Roman"/>
          <w:sz w:val="24"/>
          <w:szCs w:val="24"/>
        </w:rPr>
        <w:lastRenderedPageBreak/>
        <w:t xml:space="preserve">could be further enhanced </w:t>
      </w:r>
      <w:proofErr w:type="gramStart"/>
      <w:r w:rsidR="00EC4996">
        <w:rPr>
          <w:rFonts w:ascii="Times New Roman" w:hAnsi="Times New Roman" w:cs="Times New Roman"/>
          <w:sz w:val="24"/>
          <w:szCs w:val="24"/>
        </w:rPr>
        <w:t>by the use of</w:t>
      </w:r>
      <w:proofErr w:type="gramEnd"/>
      <w:r w:rsidR="00EC4996">
        <w:rPr>
          <w:rFonts w:ascii="Times New Roman" w:hAnsi="Times New Roman" w:cs="Times New Roman"/>
          <w:sz w:val="24"/>
          <w:szCs w:val="24"/>
        </w:rPr>
        <w:t xml:space="preserve"> language analysis software, so as to match transnational langua</w:t>
      </w:r>
      <w:r w:rsidR="003E4792">
        <w:rPr>
          <w:rFonts w:ascii="Times New Roman" w:hAnsi="Times New Roman" w:cs="Times New Roman"/>
          <w:sz w:val="24"/>
          <w:szCs w:val="24"/>
        </w:rPr>
        <w:t>ge included in the briefs to</w:t>
      </w:r>
      <w:r w:rsidR="00EC4996">
        <w:rPr>
          <w:rFonts w:ascii="Times New Roman" w:hAnsi="Times New Roman" w:cs="Times New Roman"/>
          <w:sz w:val="24"/>
          <w:szCs w:val="24"/>
        </w:rPr>
        <w:t xml:space="preserve"> Supreme Court opinion content.</w:t>
      </w:r>
    </w:p>
    <w:p w14:paraId="46F5CF05" w14:textId="77777777" w:rsidR="005A0040" w:rsidRDefault="00EC4996" w:rsidP="00EC4996">
      <w:pPr>
        <w:widowControl w:val="0"/>
        <w:suppressAutoHyphens/>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Furthermore, a diverse group of amici appear to rely on foreign and international law to promote their arguments.</w:t>
      </w:r>
      <w:r w:rsidR="005A0040">
        <w:rPr>
          <w:rFonts w:ascii="Times New Roman" w:hAnsi="Times New Roman" w:cs="Times New Roman"/>
          <w:sz w:val="24"/>
          <w:szCs w:val="24"/>
        </w:rPr>
        <w:t xml:space="preserve"> Why do these groups engage in this behavior and others do not? When amici are amenable to transnational citations, how do they decide which cases are appropriate to do so? Interviews with groups that frequently submit briefs for the consideration of the Court could shed some light to this issue. In addition to interviews, it would be interesting to assess whether, with their transnational citations, parties and briefs target the median Justice of the Court when he or she is friendly to the </w:t>
      </w:r>
      <w:proofErr w:type="gramStart"/>
      <w:r w:rsidR="005A0040">
        <w:rPr>
          <w:rFonts w:ascii="Times New Roman" w:hAnsi="Times New Roman" w:cs="Times New Roman"/>
          <w:sz w:val="24"/>
          <w:szCs w:val="24"/>
        </w:rPr>
        <w:t>practice, and</w:t>
      </w:r>
      <w:proofErr w:type="gramEnd"/>
      <w:r w:rsidR="005A0040">
        <w:rPr>
          <w:rFonts w:ascii="Times New Roman" w:hAnsi="Times New Roman" w:cs="Times New Roman"/>
          <w:sz w:val="24"/>
          <w:szCs w:val="24"/>
        </w:rPr>
        <w:t xml:space="preserve"> avoid it otherwise.</w:t>
      </w:r>
    </w:p>
    <w:p w14:paraId="5F13C5E9" w14:textId="3BF9ACB8" w:rsidR="00EC4996" w:rsidRDefault="005A0040" w:rsidP="00EC4996">
      <w:pPr>
        <w:widowControl w:val="0"/>
        <w:suppressAutoHyphens/>
        <w:spacing w:after="0" w:line="480" w:lineRule="auto"/>
        <w:ind w:firstLine="432"/>
        <w:rPr>
          <w:rFonts w:ascii="Times New Roman" w:hAnsi="Times New Roman" w:cs="Times New Roman"/>
          <w:sz w:val="24"/>
          <w:szCs w:val="24"/>
        </w:rPr>
      </w:pPr>
      <w:r>
        <w:rPr>
          <w:rFonts w:ascii="Times New Roman" w:hAnsi="Times New Roman" w:cs="Times New Roman"/>
          <w:sz w:val="24"/>
          <w:szCs w:val="24"/>
        </w:rPr>
        <w:t xml:space="preserve">In conclusion, </w:t>
      </w:r>
      <w:r w:rsidR="000804CD">
        <w:rPr>
          <w:rFonts w:ascii="Times New Roman" w:hAnsi="Times New Roman" w:cs="Times New Roman"/>
          <w:sz w:val="24"/>
          <w:szCs w:val="24"/>
        </w:rPr>
        <w:t xml:space="preserve">pressures from below, by litigants and friends of the court, are a significant aspect of judicial globalization. The </w:t>
      </w:r>
      <w:r w:rsidR="0023074B">
        <w:rPr>
          <w:rFonts w:ascii="Times New Roman" w:hAnsi="Times New Roman" w:cs="Times New Roman"/>
          <w:sz w:val="24"/>
          <w:szCs w:val="24"/>
        </w:rPr>
        <w:t>expansion</w:t>
      </w:r>
      <w:r w:rsidR="000804CD">
        <w:rPr>
          <w:rFonts w:ascii="Times New Roman" w:hAnsi="Times New Roman" w:cs="Times New Roman"/>
          <w:sz w:val="24"/>
          <w:szCs w:val="24"/>
        </w:rPr>
        <w:t xml:space="preserve"> of transnational groups</w:t>
      </w:r>
      <w:r w:rsidR="0023074B">
        <w:rPr>
          <w:rFonts w:ascii="Times New Roman" w:hAnsi="Times New Roman" w:cs="Times New Roman"/>
          <w:sz w:val="24"/>
          <w:szCs w:val="24"/>
        </w:rPr>
        <w:t xml:space="preserve"> networks</w:t>
      </w:r>
      <w:r w:rsidR="000804CD">
        <w:rPr>
          <w:rFonts w:ascii="Times New Roman" w:hAnsi="Times New Roman" w:cs="Times New Roman"/>
          <w:sz w:val="24"/>
          <w:szCs w:val="24"/>
        </w:rPr>
        <w:t>, along with the increase in availability of foreign and inter</w:t>
      </w:r>
      <w:r w:rsidR="0023074B">
        <w:rPr>
          <w:rFonts w:ascii="Times New Roman" w:hAnsi="Times New Roman" w:cs="Times New Roman"/>
          <w:sz w:val="24"/>
          <w:szCs w:val="24"/>
        </w:rPr>
        <w:t>national legal materials, combined</w:t>
      </w:r>
      <w:r w:rsidR="000804CD">
        <w:rPr>
          <w:rFonts w:ascii="Times New Roman" w:hAnsi="Times New Roman" w:cs="Times New Roman"/>
          <w:sz w:val="24"/>
          <w:szCs w:val="24"/>
        </w:rPr>
        <w:t xml:space="preserve"> with </w:t>
      </w:r>
      <w:r w:rsidR="0023074B">
        <w:rPr>
          <w:rFonts w:ascii="Times New Roman" w:hAnsi="Times New Roman" w:cs="Times New Roman"/>
          <w:sz w:val="24"/>
          <w:szCs w:val="24"/>
        </w:rPr>
        <w:t xml:space="preserve">the reality of </w:t>
      </w:r>
      <w:r w:rsidR="000804CD">
        <w:rPr>
          <w:rFonts w:ascii="Times New Roman" w:hAnsi="Times New Roman" w:cs="Times New Roman"/>
          <w:sz w:val="24"/>
          <w:szCs w:val="24"/>
        </w:rPr>
        <w:t>an interconnected world, suggest that such pressures will only intensify in the future.</w:t>
      </w:r>
    </w:p>
    <w:p w14:paraId="149C6658" w14:textId="77777777" w:rsidR="00435150" w:rsidRDefault="00435150" w:rsidP="00EC4996">
      <w:pPr>
        <w:widowControl w:val="0"/>
        <w:suppressAutoHyphens/>
        <w:spacing w:after="0" w:line="480" w:lineRule="auto"/>
        <w:ind w:firstLine="432"/>
        <w:rPr>
          <w:rFonts w:ascii="Times New Roman" w:hAnsi="Times New Roman" w:cs="Times New Roman"/>
          <w:sz w:val="24"/>
          <w:szCs w:val="24"/>
        </w:rPr>
      </w:pPr>
    </w:p>
    <w:p w14:paraId="4F0F0A9F" w14:textId="77777777" w:rsidR="00435150" w:rsidRDefault="00435150" w:rsidP="00EC4996">
      <w:pPr>
        <w:widowControl w:val="0"/>
        <w:suppressAutoHyphens/>
        <w:spacing w:after="0" w:line="480" w:lineRule="auto"/>
        <w:ind w:firstLine="432"/>
        <w:rPr>
          <w:rFonts w:ascii="Times New Roman" w:hAnsi="Times New Roman" w:cs="Times New Roman"/>
          <w:sz w:val="24"/>
          <w:szCs w:val="24"/>
        </w:rPr>
      </w:pPr>
    </w:p>
    <w:p w14:paraId="0F1748A3" w14:textId="77777777" w:rsidR="00435150" w:rsidRDefault="00435150" w:rsidP="00EC4996">
      <w:pPr>
        <w:widowControl w:val="0"/>
        <w:suppressAutoHyphens/>
        <w:spacing w:after="0" w:line="480" w:lineRule="auto"/>
        <w:ind w:firstLine="432"/>
        <w:rPr>
          <w:rFonts w:ascii="Times New Roman" w:hAnsi="Times New Roman" w:cs="Times New Roman"/>
          <w:sz w:val="24"/>
          <w:szCs w:val="24"/>
        </w:rPr>
      </w:pPr>
    </w:p>
    <w:p w14:paraId="0B4A44A6" w14:textId="77777777" w:rsidR="00435150" w:rsidRDefault="00435150" w:rsidP="00EC4996">
      <w:pPr>
        <w:widowControl w:val="0"/>
        <w:suppressAutoHyphens/>
        <w:spacing w:after="0" w:line="480" w:lineRule="auto"/>
        <w:ind w:firstLine="432"/>
        <w:rPr>
          <w:rFonts w:ascii="Times New Roman" w:hAnsi="Times New Roman" w:cs="Times New Roman"/>
          <w:sz w:val="24"/>
          <w:szCs w:val="24"/>
        </w:rPr>
      </w:pPr>
    </w:p>
    <w:p w14:paraId="3B3846F5" w14:textId="77777777" w:rsidR="000D38F9" w:rsidRDefault="000D38F9" w:rsidP="00435150">
      <w:pPr>
        <w:widowControl w:val="0"/>
        <w:suppressAutoHyphens/>
        <w:spacing w:after="0" w:line="480" w:lineRule="auto"/>
        <w:rPr>
          <w:rFonts w:ascii="Times New Roman" w:hAnsi="Times New Roman" w:cs="Times New Roman"/>
          <w:b/>
          <w:sz w:val="24"/>
          <w:szCs w:val="24"/>
        </w:rPr>
      </w:pPr>
    </w:p>
    <w:p w14:paraId="7906F6BF" w14:textId="77777777" w:rsidR="000D38F9" w:rsidRDefault="000D38F9" w:rsidP="00435150">
      <w:pPr>
        <w:widowControl w:val="0"/>
        <w:suppressAutoHyphens/>
        <w:spacing w:after="0" w:line="480" w:lineRule="auto"/>
        <w:rPr>
          <w:rFonts w:ascii="Times New Roman" w:hAnsi="Times New Roman" w:cs="Times New Roman"/>
          <w:b/>
          <w:sz w:val="24"/>
          <w:szCs w:val="24"/>
        </w:rPr>
      </w:pPr>
    </w:p>
    <w:p w14:paraId="1B35041C" w14:textId="77777777" w:rsidR="000D38F9" w:rsidRDefault="000D38F9" w:rsidP="00435150">
      <w:pPr>
        <w:widowControl w:val="0"/>
        <w:suppressAutoHyphens/>
        <w:spacing w:after="0" w:line="480" w:lineRule="auto"/>
        <w:rPr>
          <w:rFonts w:ascii="Times New Roman" w:hAnsi="Times New Roman" w:cs="Times New Roman"/>
          <w:b/>
          <w:sz w:val="24"/>
          <w:szCs w:val="24"/>
        </w:rPr>
      </w:pPr>
    </w:p>
    <w:p w14:paraId="5BEB706D" w14:textId="77777777" w:rsidR="000D38F9" w:rsidRDefault="000D38F9" w:rsidP="00435150">
      <w:pPr>
        <w:widowControl w:val="0"/>
        <w:suppressAutoHyphens/>
        <w:spacing w:after="0" w:line="480" w:lineRule="auto"/>
        <w:rPr>
          <w:rFonts w:ascii="Times New Roman" w:hAnsi="Times New Roman" w:cs="Times New Roman"/>
          <w:b/>
          <w:sz w:val="24"/>
          <w:szCs w:val="24"/>
        </w:rPr>
      </w:pPr>
    </w:p>
    <w:p w14:paraId="7244DFA9" w14:textId="77777777" w:rsidR="000D38F9" w:rsidRDefault="000D38F9" w:rsidP="00435150">
      <w:pPr>
        <w:widowControl w:val="0"/>
        <w:suppressAutoHyphens/>
        <w:spacing w:after="0" w:line="480" w:lineRule="auto"/>
        <w:rPr>
          <w:rFonts w:ascii="Times New Roman" w:hAnsi="Times New Roman" w:cs="Times New Roman"/>
          <w:b/>
          <w:sz w:val="24"/>
          <w:szCs w:val="24"/>
        </w:rPr>
      </w:pPr>
    </w:p>
    <w:p w14:paraId="7BE1813F" w14:textId="77777777" w:rsidR="00C02057" w:rsidRDefault="00C02057" w:rsidP="00435150">
      <w:pPr>
        <w:widowControl w:val="0"/>
        <w:suppressAutoHyphens/>
        <w:spacing w:after="0" w:line="480" w:lineRule="auto"/>
        <w:rPr>
          <w:rFonts w:ascii="Times New Roman" w:hAnsi="Times New Roman" w:cs="Times New Roman"/>
          <w:b/>
          <w:sz w:val="24"/>
          <w:szCs w:val="24"/>
        </w:rPr>
      </w:pPr>
    </w:p>
    <w:p w14:paraId="489DB922" w14:textId="75313595" w:rsidR="00435150" w:rsidRDefault="00435150" w:rsidP="00435150">
      <w:pPr>
        <w:widowControl w:val="0"/>
        <w:suppressAutoHyphen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w:t>
      </w:r>
    </w:p>
    <w:p w14:paraId="65D4289D" w14:textId="77777777" w:rsidR="00435150" w:rsidRDefault="00435150" w:rsidP="00435150">
      <w:pPr>
        <w:widowControl w:val="0"/>
        <w:suppressAutoHyphens/>
        <w:spacing w:after="0" w:line="480" w:lineRule="auto"/>
        <w:rPr>
          <w:rFonts w:ascii="Times New Roman" w:hAnsi="Times New Roman" w:cs="Times New Roman"/>
          <w:b/>
          <w:sz w:val="24"/>
          <w:szCs w:val="24"/>
        </w:rPr>
      </w:pPr>
    </w:p>
    <w:p w14:paraId="1726F205" w14:textId="77777777" w:rsidR="00435150" w:rsidRDefault="00435150" w:rsidP="00435150">
      <w:pPr>
        <w:widowControl w:val="0"/>
        <w:suppressAutoHyphen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Table 1: Number of cases citing transnational law in Supreme Court opinions, parties’ </w:t>
      </w:r>
      <w:proofErr w:type="gramStart"/>
      <w:r>
        <w:rPr>
          <w:rFonts w:ascii="Times New Roman" w:hAnsi="Times New Roman" w:cs="Times New Roman"/>
          <w:b/>
          <w:sz w:val="24"/>
          <w:szCs w:val="24"/>
        </w:rPr>
        <w:t>briefs</w:t>
      </w:r>
      <w:proofErr w:type="gramEnd"/>
      <w:r>
        <w:rPr>
          <w:rFonts w:ascii="Times New Roman" w:hAnsi="Times New Roman" w:cs="Times New Roman"/>
          <w:b/>
          <w:sz w:val="24"/>
          <w:szCs w:val="24"/>
        </w:rPr>
        <w:t xml:space="preserve"> and amici briefs per year.</w:t>
      </w:r>
    </w:p>
    <w:tbl>
      <w:tblPr>
        <w:tblStyle w:val="TableGrid"/>
        <w:tblW w:w="7915" w:type="dxa"/>
        <w:tblLook w:val="04A0" w:firstRow="1" w:lastRow="0" w:firstColumn="1" w:lastColumn="0" w:noHBand="0" w:noVBand="1"/>
      </w:tblPr>
      <w:tblGrid>
        <w:gridCol w:w="805"/>
        <w:gridCol w:w="2520"/>
        <w:gridCol w:w="1715"/>
        <w:gridCol w:w="1345"/>
        <w:gridCol w:w="1530"/>
      </w:tblGrid>
      <w:tr w:rsidR="00435150" w:rsidRPr="00435150" w14:paraId="301958F7" w14:textId="77777777" w:rsidTr="00435150">
        <w:trPr>
          <w:trHeight w:val="315"/>
        </w:trPr>
        <w:tc>
          <w:tcPr>
            <w:tcW w:w="805" w:type="dxa"/>
            <w:noWrap/>
            <w:hideMark/>
          </w:tcPr>
          <w:p w14:paraId="4C1F5B4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Year</w:t>
            </w:r>
          </w:p>
        </w:tc>
        <w:tc>
          <w:tcPr>
            <w:tcW w:w="2520" w:type="dxa"/>
            <w:noWrap/>
            <w:hideMark/>
          </w:tcPr>
          <w:p w14:paraId="69FD3B6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Total Number of Cases</w:t>
            </w:r>
          </w:p>
        </w:tc>
        <w:tc>
          <w:tcPr>
            <w:tcW w:w="1715" w:type="dxa"/>
            <w:noWrap/>
            <w:hideMark/>
          </w:tcPr>
          <w:p w14:paraId="32DD00B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Court Opinion</w:t>
            </w:r>
          </w:p>
        </w:tc>
        <w:tc>
          <w:tcPr>
            <w:tcW w:w="1345" w:type="dxa"/>
            <w:noWrap/>
            <w:hideMark/>
          </w:tcPr>
          <w:p w14:paraId="6371309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Party Brief</w:t>
            </w:r>
          </w:p>
        </w:tc>
        <w:tc>
          <w:tcPr>
            <w:tcW w:w="1530" w:type="dxa"/>
            <w:noWrap/>
            <w:hideMark/>
          </w:tcPr>
          <w:p w14:paraId="0861EEF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Amicus Brief</w:t>
            </w:r>
          </w:p>
        </w:tc>
      </w:tr>
      <w:tr w:rsidR="00435150" w:rsidRPr="00435150" w14:paraId="52E2DCA0" w14:textId="77777777" w:rsidTr="00435150">
        <w:trPr>
          <w:trHeight w:val="315"/>
        </w:trPr>
        <w:tc>
          <w:tcPr>
            <w:tcW w:w="805" w:type="dxa"/>
            <w:noWrap/>
            <w:hideMark/>
          </w:tcPr>
          <w:p w14:paraId="5776D06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1989</w:t>
            </w:r>
          </w:p>
        </w:tc>
        <w:tc>
          <w:tcPr>
            <w:tcW w:w="2520" w:type="dxa"/>
            <w:noWrap/>
            <w:hideMark/>
          </w:tcPr>
          <w:p w14:paraId="0425BCA3"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142</w:t>
            </w:r>
          </w:p>
        </w:tc>
        <w:tc>
          <w:tcPr>
            <w:tcW w:w="1715" w:type="dxa"/>
            <w:noWrap/>
            <w:hideMark/>
          </w:tcPr>
          <w:p w14:paraId="36C27C0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w:t>
            </w:r>
          </w:p>
        </w:tc>
        <w:tc>
          <w:tcPr>
            <w:tcW w:w="1345" w:type="dxa"/>
            <w:noWrap/>
            <w:hideMark/>
          </w:tcPr>
          <w:p w14:paraId="5E1DD97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w:t>
            </w:r>
          </w:p>
        </w:tc>
        <w:tc>
          <w:tcPr>
            <w:tcW w:w="1530" w:type="dxa"/>
            <w:noWrap/>
            <w:hideMark/>
          </w:tcPr>
          <w:p w14:paraId="3A2C5C6F"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9</w:t>
            </w:r>
          </w:p>
        </w:tc>
      </w:tr>
      <w:tr w:rsidR="00435150" w:rsidRPr="00435150" w14:paraId="2BF43C90" w14:textId="77777777" w:rsidTr="00435150">
        <w:trPr>
          <w:trHeight w:val="315"/>
        </w:trPr>
        <w:tc>
          <w:tcPr>
            <w:tcW w:w="805" w:type="dxa"/>
            <w:noWrap/>
            <w:hideMark/>
          </w:tcPr>
          <w:p w14:paraId="6436B8D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1990</w:t>
            </w:r>
          </w:p>
        </w:tc>
        <w:tc>
          <w:tcPr>
            <w:tcW w:w="2520" w:type="dxa"/>
            <w:noWrap/>
            <w:hideMark/>
          </w:tcPr>
          <w:p w14:paraId="225E24B1"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128</w:t>
            </w:r>
          </w:p>
        </w:tc>
        <w:tc>
          <w:tcPr>
            <w:tcW w:w="1715" w:type="dxa"/>
            <w:noWrap/>
            <w:hideMark/>
          </w:tcPr>
          <w:p w14:paraId="10B25533"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10</w:t>
            </w:r>
          </w:p>
        </w:tc>
        <w:tc>
          <w:tcPr>
            <w:tcW w:w="1345" w:type="dxa"/>
            <w:noWrap/>
            <w:hideMark/>
          </w:tcPr>
          <w:p w14:paraId="247B302A"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13</w:t>
            </w:r>
          </w:p>
        </w:tc>
        <w:tc>
          <w:tcPr>
            <w:tcW w:w="1530" w:type="dxa"/>
            <w:noWrap/>
            <w:hideMark/>
          </w:tcPr>
          <w:p w14:paraId="24F37C4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9</w:t>
            </w:r>
          </w:p>
        </w:tc>
      </w:tr>
      <w:tr w:rsidR="00435150" w:rsidRPr="00435150" w14:paraId="0D2989EA" w14:textId="77777777" w:rsidTr="00435150">
        <w:trPr>
          <w:trHeight w:val="315"/>
        </w:trPr>
        <w:tc>
          <w:tcPr>
            <w:tcW w:w="805" w:type="dxa"/>
            <w:noWrap/>
            <w:hideMark/>
          </w:tcPr>
          <w:p w14:paraId="53C428B1"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1991</w:t>
            </w:r>
          </w:p>
        </w:tc>
        <w:tc>
          <w:tcPr>
            <w:tcW w:w="2520" w:type="dxa"/>
            <w:noWrap/>
            <w:hideMark/>
          </w:tcPr>
          <w:p w14:paraId="2759F9F9"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115</w:t>
            </w:r>
          </w:p>
        </w:tc>
        <w:tc>
          <w:tcPr>
            <w:tcW w:w="1715" w:type="dxa"/>
            <w:noWrap/>
            <w:hideMark/>
          </w:tcPr>
          <w:p w14:paraId="41D79FF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w:t>
            </w:r>
          </w:p>
        </w:tc>
        <w:tc>
          <w:tcPr>
            <w:tcW w:w="1345" w:type="dxa"/>
            <w:noWrap/>
            <w:hideMark/>
          </w:tcPr>
          <w:p w14:paraId="0820D71F"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10</w:t>
            </w:r>
          </w:p>
        </w:tc>
        <w:tc>
          <w:tcPr>
            <w:tcW w:w="1530" w:type="dxa"/>
            <w:noWrap/>
            <w:hideMark/>
          </w:tcPr>
          <w:p w14:paraId="6EE9748F"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w:t>
            </w:r>
          </w:p>
        </w:tc>
      </w:tr>
      <w:tr w:rsidR="00435150" w:rsidRPr="00435150" w14:paraId="2360AFF9" w14:textId="77777777" w:rsidTr="00435150">
        <w:trPr>
          <w:trHeight w:val="315"/>
        </w:trPr>
        <w:tc>
          <w:tcPr>
            <w:tcW w:w="805" w:type="dxa"/>
            <w:noWrap/>
            <w:hideMark/>
          </w:tcPr>
          <w:p w14:paraId="0D9C822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1992</w:t>
            </w:r>
          </w:p>
        </w:tc>
        <w:tc>
          <w:tcPr>
            <w:tcW w:w="2520" w:type="dxa"/>
            <w:noWrap/>
            <w:hideMark/>
          </w:tcPr>
          <w:p w14:paraId="4839786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104</w:t>
            </w:r>
          </w:p>
        </w:tc>
        <w:tc>
          <w:tcPr>
            <w:tcW w:w="1715" w:type="dxa"/>
            <w:noWrap/>
            <w:hideMark/>
          </w:tcPr>
          <w:p w14:paraId="5FCC81F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10</w:t>
            </w:r>
          </w:p>
        </w:tc>
        <w:tc>
          <w:tcPr>
            <w:tcW w:w="1345" w:type="dxa"/>
            <w:noWrap/>
            <w:hideMark/>
          </w:tcPr>
          <w:p w14:paraId="43A2172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w:t>
            </w:r>
          </w:p>
        </w:tc>
        <w:tc>
          <w:tcPr>
            <w:tcW w:w="1530" w:type="dxa"/>
            <w:noWrap/>
            <w:hideMark/>
          </w:tcPr>
          <w:p w14:paraId="3C5EFEC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w:t>
            </w:r>
          </w:p>
        </w:tc>
      </w:tr>
      <w:tr w:rsidR="00435150" w:rsidRPr="00435150" w14:paraId="401D852E" w14:textId="77777777" w:rsidTr="00435150">
        <w:trPr>
          <w:trHeight w:val="315"/>
        </w:trPr>
        <w:tc>
          <w:tcPr>
            <w:tcW w:w="805" w:type="dxa"/>
            <w:noWrap/>
            <w:hideMark/>
          </w:tcPr>
          <w:p w14:paraId="4F4BA63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1993</w:t>
            </w:r>
          </w:p>
        </w:tc>
        <w:tc>
          <w:tcPr>
            <w:tcW w:w="2520" w:type="dxa"/>
            <w:noWrap/>
            <w:hideMark/>
          </w:tcPr>
          <w:p w14:paraId="2434861E"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104</w:t>
            </w:r>
          </w:p>
        </w:tc>
        <w:tc>
          <w:tcPr>
            <w:tcW w:w="1715" w:type="dxa"/>
            <w:noWrap/>
            <w:hideMark/>
          </w:tcPr>
          <w:p w14:paraId="0E09E33A"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10</w:t>
            </w:r>
          </w:p>
        </w:tc>
        <w:tc>
          <w:tcPr>
            <w:tcW w:w="1345" w:type="dxa"/>
            <w:noWrap/>
            <w:hideMark/>
          </w:tcPr>
          <w:p w14:paraId="2C5ECFA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w:t>
            </w:r>
          </w:p>
        </w:tc>
        <w:tc>
          <w:tcPr>
            <w:tcW w:w="1530" w:type="dxa"/>
            <w:noWrap/>
            <w:hideMark/>
          </w:tcPr>
          <w:p w14:paraId="4C50501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13</w:t>
            </w:r>
          </w:p>
        </w:tc>
      </w:tr>
      <w:tr w:rsidR="00435150" w:rsidRPr="00435150" w14:paraId="04EA3D9F" w14:textId="77777777" w:rsidTr="00435150">
        <w:trPr>
          <w:trHeight w:val="315"/>
        </w:trPr>
        <w:tc>
          <w:tcPr>
            <w:tcW w:w="805" w:type="dxa"/>
            <w:noWrap/>
            <w:hideMark/>
          </w:tcPr>
          <w:p w14:paraId="478B151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1994</w:t>
            </w:r>
          </w:p>
        </w:tc>
        <w:tc>
          <w:tcPr>
            <w:tcW w:w="2520" w:type="dxa"/>
            <w:noWrap/>
            <w:hideMark/>
          </w:tcPr>
          <w:p w14:paraId="3DB51C53"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90</w:t>
            </w:r>
          </w:p>
        </w:tc>
        <w:tc>
          <w:tcPr>
            <w:tcW w:w="1715" w:type="dxa"/>
            <w:noWrap/>
            <w:hideMark/>
          </w:tcPr>
          <w:p w14:paraId="680C777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w:t>
            </w:r>
          </w:p>
        </w:tc>
        <w:tc>
          <w:tcPr>
            <w:tcW w:w="1345" w:type="dxa"/>
            <w:noWrap/>
            <w:hideMark/>
          </w:tcPr>
          <w:p w14:paraId="4150E05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w:t>
            </w:r>
          </w:p>
        </w:tc>
        <w:tc>
          <w:tcPr>
            <w:tcW w:w="1530" w:type="dxa"/>
            <w:noWrap/>
            <w:hideMark/>
          </w:tcPr>
          <w:p w14:paraId="56BBFD1E"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5</w:t>
            </w:r>
          </w:p>
        </w:tc>
      </w:tr>
      <w:tr w:rsidR="00435150" w:rsidRPr="00435150" w14:paraId="4DD8BB35" w14:textId="77777777" w:rsidTr="00435150">
        <w:trPr>
          <w:trHeight w:val="315"/>
        </w:trPr>
        <w:tc>
          <w:tcPr>
            <w:tcW w:w="805" w:type="dxa"/>
            <w:noWrap/>
            <w:hideMark/>
          </w:tcPr>
          <w:p w14:paraId="294AA87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1995</w:t>
            </w:r>
          </w:p>
        </w:tc>
        <w:tc>
          <w:tcPr>
            <w:tcW w:w="2520" w:type="dxa"/>
            <w:noWrap/>
            <w:hideMark/>
          </w:tcPr>
          <w:p w14:paraId="302CF34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83</w:t>
            </w:r>
          </w:p>
        </w:tc>
        <w:tc>
          <w:tcPr>
            <w:tcW w:w="1715" w:type="dxa"/>
            <w:noWrap/>
            <w:hideMark/>
          </w:tcPr>
          <w:p w14:paraId="477DF12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w:t>
            </w:r>
          </w:p>
        </w:tc>
        <w:tc>
          <w:tcPr>
            <w:tcW w:w="1345" w:type="dxa"/>
            <w:noWrap/>
            <w:hideMark/>
          </w:tcPr>
          <w:p w14:paraId="4598BFB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w:t>
            </w:r>
          </w:p>
        </w:tc>
        <w:tc>
          <w:tcPr>
            <w:tcW w:w="1530" w:type="dxa"/>
            <w:noWrap/>
            <w:hideMark/>
          </w:tcPr>
          <w:p w14:paraId="0FFF3D20"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3</w:t>
            </w:r>
          </w:p>
        </w:tc>
      </w:tr>
      <w:tr w:rsidR="00435150" w:rsidRPr="00435150" w14:paraId="75BDFA3E" w14:textId="77777777" w:rsidTr="00435150">
        <w:trPr>
          <w:trHeight w:val="315"/>
        </w:trPr>
        <w:tc>
          <w:tcPr>
            <w:tcW w:w="805" w:type="dxa"/>
            <w:noWrap/>
            <w:hideMark/>
          </w:tcPr>
          <w:p w14:paraId="0E92BE2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1996</w:t>
            </w:r>
          </w:p>
        </w:tc>
        <w:tc>
          <w:tcPr>
            <w:tcW w:w="2520" w:type="dxa"/>
            <w:noWrap/>
            <w:hideMark/>
          </w:tcPr>
          <w:p w14:paraId="2E953569"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76</w:t>
            </w:r>
          </w:p>
        </w:tc>
        <w:tc>
          <w:tcPr>
            <w:tcW w:w="1715" w:type="dxa"/>
            <w:noWrap/>
            <w:hideMark/>
          </w:tcPr>
          <w:p w14:paraId="2D2EB7D1"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4</w:t>
            </w:r>
          </w:p>
        </w:tc>
        <w:tc>
          <w:tcPr>
            <w:tcW w:w="1345" w:type="dxa"/>
            <w:noWrap/>
            <w:hideMark/>
          </w:tcPr>
          <w:p w14:paraId="744E890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w:t>
            </w:r>
          </w:p>
        </w:tc>
        <w:tc>
          <w:tcPr>
            <w:tcW w:w="1530" w:type="dxa"/>
            <w:noWrap/>
            <w:hideMark/>
          </w:tcPr>
          <w:p w14:paraId="03EB5239"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3</w:t>
            </w:r>
          </w:p>
        </w:tc>
      </w:tr>
      <w:tr w:rsidR="00435150" w:rsidRPr="00435150" w14:paraId="35EC3BE3" w14:textId="77777777" w:rsidTr="00435150">
        <w:trPr>
          <w:trHeight w:val="315"/>
        </w:trPr>
        <w:tc>
          <w:tcPr>
            <w:tcW w:w="805" w:type="dxa"/>
            <w:noWrap/>
            <w:hideMark/>
          </w:tcPr>
          <w:p w14:paraId="14361CCE"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1997</w:t>
            </w:r>
          </w:p>
        </w:tc>
        <w:tc>
          <w:tcPr>
            <w:tcW w:w="2520" w:type="dxa"/>
            <w:noWrap/>
            <w:hideMark/>
          </w:tcPr>
          <w:p w14:paraId="7AFBBD1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85</w:t>
            </w:r>
          </w:p>
        </w:tc>
        <w:tc>
          <w:tcPr>
            <w:tcW w:w="1715" w:type="dxa"/>
            <w:noWrap/>
            <w:hideMark/>
          </w:tcPr>
          <w:p w14:paraId="2692D6CE"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w:t>
            </w:r>
          </w:p>
        </w:tc>
        <w:tc>
          <w:tcPr>
            <w:tcW w:w="1345" w:type="dxa"/>
            <w:noWrap/>
            <w:hideMark/>
          </w:tcPr>
          <w:p w14:paraId="6A476B9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0</w:t>
            </w:r>
          </w:p>
        </w:tc>
        <w:tc>
          <w:tcPr>
            <w:tcW w:w="1530" w:type="dxa"/>
            <w:noWrap/>
            <w:hideMark/>
          </w:tcPr>
          <w:p w14:paraId="50F72FA9"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3</w:t>
            </w:r>
          </w:p>
        </w:tc>
      </w:tr>
      <w:tr w:rsidR="00435150" w:rsidRPr="00435150" w14:paraId="30916518" w14:textId="77777777" w:rsidTr="00435150">
        <w:trPr>
          <w:trHeight w:val="315"/>
        </w:trPr>
        <w:tc>
          <w:tcPr>
            <w:tcW w:w="805" w:type="dxa"/>
            <w:noWrap/>
            <w:hideMark/>
          </w:tcPr>
          <w:p w14:paraId="42C256F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1998</w:t>
            </w:r>
          </w:p>
        </w:tc>
        <w:tc>
          <w:tcPr>
            <w:tcW w:w="2520" w:type="dxa"/>
            <w:noWrap/>
            <w:hideMark/>
          </w:tcPr>
          <w:p w14:paraId="348F4A53"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88</w:t>
            </w:r>
          </w:p>
        </w:tc>
        <w:tc>
          <w:tcPr>
            <w:tcW w:w="1715" w:type="dxa"/>
            <w:noWrap/>
            <w:hideMark/>
          </w:tcPr>
          <w:p w14:paraId="7823310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4</w:t>
            </w:r>
          </w:p>
        </w:tc>
        <w:tc>
          <w:tcPr>
            <w:tcW w:w="1345" w:type="dxa"/>
            <w:noWrap/>
            <w:hideMark/>
          </w:tcPr>
          <w:p w14:paraId="791C184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w:t>
            </w:r>
          </w:p>
        </w:tc>
        <w:tc>
          <w:tcPr>
            <w:tcW w:w="1530" w:type="dxa"/>
            <w:noWrap/>
            <w:hideMark/>
          </w:tcPr>
          <w:p w14:paraId="45DC540E"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4</w:t>
            </w:r>
          </w:p>
        </w:tc>
      </w:tr>
      <w:tr w:rsidR="00435150" w:rsidRPr="00435150" w14:paraId="52817080" w14:textId="77777777" w:rsidTr="00435150">
        <w:trPr>
          <w:trHeight w:val="315"/>
        </w:trPr>
        <w:tc>
          <w:tcPr>
            <w:tcW w:w="805" w:type="dxa"/>
            <w:noWrap/>
            <w:hideMark/>
          </w:tcPr>
          <w:p w14:paraId="54E0128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1999</w:t>
            </w:r>
          </w:p>
        </w:tc>
        <w:tc>
          <w:tcPr>
            <w:tcW w:w="2520" w:type="dxa"/>
            <w:noWrap/>
            <w:hideMark/>
          </w:tcPr>
          <w:p w14:paraId="333473FB"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73</w:t>
            </w:r>
          </w:p>
        </w:tc>
        <w:tc>
          <w:tcPr>
            <w:tcW w:w="1715" w:type="dxa"/>
            <w:noWrap/>
            <w:hideMark/>
          </w:tcPr>
          <w:p w14:paraId="7E5225F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5</w:t>
            </w:r>
          </w:p>
        </w:tc>
        <w:tc>
          <w:tcPr>
            <w:tcW w:w="1345" w:type="dxa"/>
            <w:noWrap/>
            <w:hideMark/>
          </w:tcPr>
          <w:p w14:paraId="3087875E"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3</w:t>
            </w:r>
          </w:p>
        </w:tc>
        <w:tc>
          <w:tcPr>
            <w:tcW w:w="1530" w:type="dxa"/>
            <w:noWrap/>
            <w:hideMark/>
          </w:tcPr>
          <w:p w14:paraId="5A60E6C1"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5</w:t>
            </w:r>
          </w:p>
        </w:tc>
      </w:tr>
      <w:tr w:rsidR="00435150" w:rsidRPr="00435150" w14:paraId="0A5075ED" w14:textId="77777777" w:rsidTr="00435150">
        <w:trPr>
          <w:trHeight w:val="315"/>
        </w:trPr>
        <w:tc>
          <w:tcPr>
            <w:tcW w:w="805" w:type="dxa"/>
            <w:noWrap/>
            <w:hideMark/>
          </w:tcPr>
          <w:p w14:paraId="4AC5B80A"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2000</w:t>
            </w:r>
          </w:p>
        </w:tc>
        <w:tc>
          <w:tcPr>
            <w:tcW w:w="2520" w:type="dxa"/>
            <w:noWrap/>
            <w:hideMark/>
          </w:tcPr>
          <w:p w14:paraId="1E3233C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81</w:t>
            </w:r>
          </w:p>
        </w:tc>
        <w:tc>
          <w:tcPr>
            <w:tcW w:w="1715" w:type="dxa"/>
            <w:noWrap/>
            <w:hideMark/>
          </w:tcPr>
          <w:p w14:paraId="06F9DCA0"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5</w:t>
            </w:r>
          </w:p>
        </w:tc>
        <w:tc>
          <w:tcPr>
            <w:tcW w:w="1345" w:type="dxa"/>
            <w:noWrap/>
            <w:hideMark/>
          </w:tcPr>
          <w:p w14:paraId="3A918C7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3</w:t>
            </w:r>
          </w:p>
        </w:tc>
        <w:tc>
          <w:tcPr>
            <w:tcW w:w="1530" w:type="dxa"/>
            <w:noWrap/>
            <w:hideMark/>
          </w:tcPr>
          <w:p w14:paraId="7CC7713F"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w:t>
            </w:r>
          </w:p>
        </w:tc>
      </w:tr>
      <w:tr w:rsidR="00435150" w:rsidRPr="00435150" w14:paraId="0152275D" w14:textId="77777777" w:rsidTr="00435150">
        <w:trPr>
          <w:trHeight w:val="315"/>
        </w:trPr>
        <w:tc>
          <w:tcPr>
            <w:tcW w:w="805" w:type="dxa"/>
            <w:noWrap/>
            <w:hideMark/>
          </w:tcPr>
          <w:p w14:paraId="4BC8B84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2001</w:t>
            </w:r>
          </w:p>
        </w:tc>
        <w:tc>
          <w:tcPr>
            <w:tcW w:w="2520" w:type="dxa"/>
            <w:noWrap/>
            <w:hideMark/>
          </w:tcPr>
          <w:p w14:paraId="6E52319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78</w:t>
            </w:r>
          </w:p>
        </w:tc>
        <w:tc>
          <w:tcPr>
            <w:tcW w:w="1715" w:type="dxa"/>
            <w:noWrap/>
            <w:hideMark/>
          </w:tcPr>
          <w:p w14:paraId="624557BA"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w:t>
            </w:r>
          </w:p>
        </w:tc>
        <w:tc>
          <w:tcPr>
            <w:tcW w:w="1345" w:type="dxa"/>
            <w:noWrap/>
            <w:hideMark/>
          </w:tcPr>
          <w:p w14:paraId="19436DB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w:t>
            </w:r>
          </w:p>
        </w:tc>
        <w:tc>
          <w:tcPr>
            <w:tcW w:w="1530" w:type="dxa"/>
            <w:noWrap/>
            <w:hideMark/>
          </w:tcPr>
          <w:p w14:paraId="4AD5A61B"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17</w:t>
            </w:r>
          </w:p>
        </w:tc>
      </w:tr>
      <w:tr w:rsidR="00435150" w:rsidRPr="00435150" w14:paraId="535FC926" w14:textId="77777777" w:rsidTr="00435150">
        <w:trPr>
          <w:trHeight w:val="315"/>
        </w:trPr>
        <w:tc>
          <w:tcPr>
            <w:tcW w:w="805" w:type="dxa"/>
            <w:noWrap/>
            <w:hideMark/>
          </w:tcPr>
          <w:p w14:paraId="47BCCE30"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2002</w:t>
            </w:r>
          </w:p>
        </w:tc>
        <w:tc>
          <w:tcPr>
            <w:tcW w:w="2520" w:type="dxa"/>
            <w:noWrap/>
            <w:hideMark/>
          </w:tcPr>
          <w:p w14:paraId="313ED22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79</w:t>
            </w:r>
          </w:p>
        </w:tc>
        <w:tc>
          <w:tcPr>
            <w:tcW w:w="1715" w:type="dxa"/>
            <w:noWrap/>
            <w:hideMark/>
          </w:tcPr>
          <w:p w14:paraId="5210980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3</w:t>
            </w:r>
          </w:p>
        </w:tc>
        <w:tc>
          <w:tcPr>
            <w:tcW w:w="1345" w:type="dxa"/>
            <w:noWrap/>
            <w:hideMark/>
          </w:tcPr>
          <w:p w14:paraId="61A616EB"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3</w:t>
            </w:r>
          </w:p>
        </w:tc>
        <w:tc>
          <w:tcPr>
            <w:tcW w:w="1530" w:type="dxa"/>
            <w:noWrap/>
            <w:hideMark/>
          </w:tcPr>
          <w:p w14:paraId="3BCA1A4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w:t>
            </w:r>
          </w:p>
        </w:tc>
      </w:tr>
      <w:tr w:rsidR="00435150" w:rsidRPr="00435150" w14:paraId="42450F75" w14:textId="77777777" w:rsidTr="00435150">
        <w:trPr>
          <w:trHeight w:val="315"/>
        </w:trPr>
        <w:tc>
          <w:tcPr>
            <w:tcW w:w="805" w:type="dxa"/>
            <w:noWrap/>
            <w:hideMark/>
          </w:tcPr>
          <w:p w14:paraId="1CB4941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2003</w:t>
            </w:r>
          </w:p>
        </w:tc>
        <w:tc>
          <w:tcPr>
            <w:tcW w:w="2520" w:type="dxa"/>
            <w:noWrap/>
            <w:hideMark/>
          </w:tcPr>
          <w:p w14:paraId="56A215AA"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76</w:t>
            </w:r>
          </w:p>
        </w:tc>
        <w:tc>
          <w:tcPr>
            <w:tcW w:w="1715" w:type="dxa"/>
            <w:noWrap/>
            <w:hideMark/>
          </w:tcPr>
          <w:p w14:paraId="2325F66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w:t>
            </w:r>
          </w:p>
        </w:tc>
        <w:tc>
          <w:tcPr>
            <w:tcW w:w="1345" w:type="dxa"/>
            <w:noWrap/>
            <w:hideMark/>
          </w:tcPr>
          <w:p w14:paraId="026A602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w:t>
            </w:r>
          </w:p>
        </w:tc>
        <w:tc>
          <w:tcPr>
            <w:tcW w:w="1530" w:type="dxa"/>
            <w:noWrap/>
            <w:hideMark/>
          </w:tcPr>
          <w:p w14:paraId="45F77B61"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w:t>
            </w:r>
          </w:p>
        </w:tc>
      </w:tr>
      <w:tr w:rsidR="00435150" w:rsidRPr="00435150" w14:paraId="19BE5347" w14:textId="77777777" w:rsidTr="00435150">
        <w:trPr>
          <w:trHeight w:val="315"/>
        </w:trPr>
        <w:tc>
          <w:tcPr>
            <w:tcW w:w="805" w:type="dxa"/>
            <w:noWrap/>
            <w:hideMark/>
          </w:tcPr>
          <w:p w14:paraId="6E6ED67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2004</w:t>
            </w:r>
          </w:p>
        </w:tc>
        <w:tc>
          <w:tcPr>
            <w:tcW w:w="2520" w:type="dxa"/>
            <w:noWrap/>
            <w:hideMark/>
          </w:tcPr>
          <w:p w14:paraId="2D2680B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75</w:t>
            </w:r>
          </w:p>
        </w:tc>
        <w:tc>
          <w:tcPr>
            <w:tcW w:w="1715" w:type="dxa"/>
            <w:noWrap/>
            <w:hideMark/>
          </w:tcPr>
          <w:p w14:paraId="39243B6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w:t>
            </w:r>
          </w:p>
        </w:tc>
        <w:tc>
          <w:tcPr>
            <w:tcW w:w="1345" w:type="dxa"/>
            <w:noWrap/>
            <w:hideMark/>
          </w:tcPr>
          <w:p w14:paraId="3E07B93B"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15</w:t>
            </w:r>
          </w:p>
        </w:tc>
        <w:tc>
          <w:tcPr>
            <w:tcW w:w="1530" w:type="dxa"/>
            <w:noWrap/>
            <w:hideMark/>
          </w:tcPr>
          <w:p w14:paraId="4959EBF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17</w:t>
            </w:r>
          </w:p>
        </w:tc>
      </w:tr>
      <w:tr w:rsidR="00435150" w:rsidRPr="00435150" w14:paraId="3E07014E" w14:textId="77777777" w:rsidTr="00435150">
        <w:trPr>
          <w:trHeight w:val="315"/>
        </w:trPr>
        <w:tc>
          <w:tcPr>
            <w:tcW w:w="805" w:type="dxa"/>
            <w:noWrap/>
            <w:hideMark/>
          </w:tcPr>
          <w:p w14:paraId="358D778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2005</w:t>
            </w:r>
          </w:p>
        </w:tc>
        <w:tc>
          <w:tcPr>
            <w:tcW w:w="2520" w:type="dxa"/>
            <w:noWrap/>
            <w:hideMark/>
          </w:tcPr>
          <w:p w14:paraId="0F2F3A6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73</w:t>
            </w:r>
          </w:p>
        </w:tc>
        <w:tc>
          <w:tcPr>
            <w:tcW w:w="1715" w:type="dxa"/>
            <w:noWrap/>
            <w:hideMark/>
          </w:tcPr>
          <w:p w14:paraId="21DF67E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w:t>
            </w:r>
          </w:p>
        </w:tc>
        <w:tc>
          <w:tcPr>
            <w:tcW w:w="1345" w:type="dxa"/>
            <w:noWrap/>
            <w:hideMark/>
          </w:tcPr>
          <w:p w14:paraId="12A168B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9</w:t>
            </w:r>
          </w:p>
        </w:tc>
        <w:tc>
          <w:tcPr>
            <w:tcW w:w="1530" w:type="dxa"/>
            <w:noWrap/>
            <w:hideMark/>
          </w:tcPr>
          <w:p w14:paraId="553A70D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15</w:t>
            </w:r>
          </w:p>
        </w:tc>
      </w:tr>
      <w:tr w:rsidR="00435150" w:rsidRPr="00435150" w14:paraId="097DCBC6" w14:textId="77777777" w:rsidTr="00435150">
        <w:trPr>
          <w:trHeight w:val="315"/>
        </w:trPr>
        <w:tc>
          <w:tcPr>
            <w:tcW w:w="805" w:type="dxa"/>
            <w:noWrap/>
            <w:hideMark/>
          </w:tcPr>
          <w:p w14:paraId="2DC9DF1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2006</w:t>
            </w:r>
          </w:p>
        </w:tc>
        <w:tc>
          <w:tcPr>
            <w:tcW w:w="2520" w:type="dxa"/>
            <w:noWrap/>
            <w:hideMark/>
          </w:tcPr>
          <w:p w14:paraId="348008F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70</w:t>
            </w:r>
          </w:p>
        </w:tc>
        <w:tc>
          <w:tcPr>
            <w:tcW w:w="1715" w:type="dxa"/>
            <w:noWrap/>
            <w:hideMark/>
          </w:tcPr>
          <w:p w14:paraId="2EE59C04"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w:t>
            </w:r>
          </w:p>
        </w:tc>
        <w:tc>
          <w:tcPr>
            <w:tcW w:w="1345" w:type="dxa"/>
            <w:noWrap/>
            <w:hideMark/>
          </w:tcPr>
          <w:p w14:paraId="399F119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13</w:t>
            </w:r>
          </w:p>
        </w:tc>
        <w:tc>
          <w:tcPr>
            <w:tcW w:w="1530" w:type="dxa"/>
            <w:noWrap/>
            <w:hideMark/>
          </w:tcPr>
          <w:p w14:paraId="2672499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15</w:t>
            </w:r>
          </w:p>
        </w:tc>
      </w:tr>
      <w:tr w:rsidR="00435150" w:rsidRPr="00435150" w14:paraId="792F7596" w14:textId="77777777" w:rsidTr="00435150">
        <w:trPr>
          <w:trHeight w:val="315"/>
        </w:trPr>
        <w:tc>
          <w:tcPr>
            <w:tcW w:w="805" w:type="dxa"/>
            <w:noWrap/>
            <w:hideMark/>
          </w:tcPr>
          <w:p w14:paraId="39FF1AF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lastRenderedPageBreak/>
              <w:t>2007</w:t>
            </w:r>
          </w:p>
        </w:tc>
        <w:tc>
          <w:tcPr>
            <w:tcW w:w="2520" w:type="dxa"/>
            <w:noWrap/>
            <w:hideMark/>
          </w:tcPr>
          <w:p w14:paraId="0ABA1368"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68</w:t>
            </w:r>
          </w:p>
        </w:tc>
        <w:tc>
          <w:tcPr>
            <w:tcW w:w="1715" w:type="dxa"/>
            <w:noWrap/>
            <w:hideMark/>
          </w:tcPr>
          <w:p w14:paraId="1F872D90"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4</w:t>
            </w:r>
          </w:p>
        </w:tc>
        <w:tc>
          <w:tcPr>
            <w:tcW w:w="1345" w:type="dxa"/>
            <w:noWrap/>
            <w:hideMark/>
          </w:tcPr>
          <w:p w14:paraId="1FEBAA4E"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w:t>
            </w:r>
          </w:p>
        </w:tc>
        <w:tc>
          <w:tcPr>
            <w:tcW w:w="1530" w:type="dxa"/>
            <w:noWrap/>
            <w:hideMark/>
          </w:tcPr>
          <w:p w14:paraId="2EF146A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14</w:t>
            </w:r>
          </w:p>
        </w:tc>
      </w:tr>
      <w:tr w:rsidR="00435150" w:rsidRPr="00435150" w14:paraId="49D90B07" w14:textId="77777777" w:rsidTr="00435150">
        <w:trPr>
          <w:trHeight w:val="315"/>
        </w:trPr>
        <w:tc>
          <w:tcPr>
            <w:tcW w:w="805" w:type="dxa"/>
            <w:noWrap/>
            <w:hideMark/>
          </w:tcPr>
          <w:p w14:paraId="2CBEF94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2008</w:t>
            </w:r>
          </w:p>
        </w:tc>
        <w:tc>
          <w:tcPr>
            <w:tcW w:w="2520" w:type="dxa"/>
            <w:noWrap/>
            <w:hideMark/>
          </w:tcPr>
          <w:p w14:paraId="356EB18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64</w:t>
            </w:r>
          </w:p>
        </w:tc>
        <w:tc>
          <w:tcPr>
            <w:tcW w:w="1715" w:type="dxa"/>
            <w:noWrap/>
            <w:hideMark/>
          </w:tcPr>
          <w:p w14:paraId="729E3900"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w:t>
            </w:r>
          </w:p>
        </w:tc>
        <w:tc>
          <w:tcPr>
            <w:tcW w:w="1345" w:type="dxa"/>
            <w:noWrap/>
            <w:hideMark/>
          </w:tcPr>
          <w:p w14:paraId="3AFD997B"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8</w:t>
            </w:r>
          </w:p>
        </w:tc>
        <w:tc>
          <w:tcPr>
            <w:tcW w:w="1530" w:type="dxa"/>
            <w:noWrap/>
            <w:hideMark/>
          </w:tcPr>
          <w:p w14:paraId="2DF5CD7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15</w:t>
            </w:r>
          </w:p>
        </w:tc>
      </w:tr>
      <w:tr w:rsidR="00435150" w:rsidRPr="00435150" w14:paraId="66A38FBE" w14:textId="77777777" w:rsidTr="00435150">
        <w:trPr>
          <w:trHeight w:val="315"/>
        </w:trPr>
        <w:tc>
          <w:tcPr>
            <w:tcW w:w="805" w:type="dxa"/>
            <w:noWrap/>
            <w:hideMark/>
          </w:tcPr>
          <w:p w14:paraId="2688E47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2009</w:t>
            </w:r>
          </w:p>
        </w:tc>
        <w:tc>
          <w:tcPr>
            <w:tcW w:w="2520" w:type="dxa"/>
            <w:noWrap/>
            <w:hideMark/>
          </w:tcPr>
          <w:p w14:paraId="6CB233D3"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76</w:t>
            </w:r>
          </w:p>
        </w:tc>
        <w:tc>
          <w:tcPr>
            <w:tcW w:w="1715" w:type="dxa"/>
            <w:noWrap/>
            <w:hideMark/>
          </w:tcPr>
          <w:p w14:paraId="0B7B0A2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w:t>
            </w:r>
          </w:p>
        </w:tc>
        <w:tc>
          <w:tcPr>
            <w:tcW w:w="1345" w:type="dxa"/>
            <w:noWrap/>
            <w:hideMark/>
          </w:tcPr>
          <w:p w14:paraId="0A408429"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w:t>
            </w:r>
          </w:p>
        </w:tc>
        <w:tc>
          <w:tcPr>
            <w:tcW w:w="1530" w:type="dxa"/>
            <w:noWrap/>
            <w:hideMark/>
          </w:tcPr>
          <w:p w14:paraId="681AC92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w:t>
            </w:r>
          </w:p>
        </w:tc>
      </w:tr>
      <w:tr w:rsidR="00435150" w:rsidRPr="00435150" w14:paraId="74151660" w14:textId="77777777" w:rsidTr="00435150">
        <w:trPr>
          <w:trHeight w:val="315"/>
        </w:trPr>
        <w:tc>
          <w:tcPr>
            <w:tcW w:w="805" w:type="dxa"/>
            <w:noWrap/>
            <w:hideMark/>
          </w:tcPr>
          <w:p w14:paraId="2BCE5D2B"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2010</w:t>
            </w:r>
          </w:p>
        </w:tc>
        <w:tc>
          <w:tcPr>
            <w:tcW w:w="2520" w:type="dxa"/>
            <w:noWrap/>
            <w:hideMark/>
          </w:tcPr>
          <w:p w14:paraId="26D8F8B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76</w:t>
            </w:r>
          </w:p>
        </w:tc>
        <w:tc>
          <w:tcPr>
            <w:tcW w:w="1715" w:type="dxa"/>
            <w:noWrap/>
            <w:hideMark/>
          </w:tcPr>
          <w:p w14:paraId="6CCB3463"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10</w:t>
            </w:r>
          </w:p>
        </w:tc>
        <w:tc>
          <w:tcPr>
            <w:tcW w:w="1345" w:type="dxa"/>
            <w:noWrap/>
            <w:hideMark/>
          </w:tcPr>
          <w:p w14:paraId="4AA5AFFA"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18</w:t>
            </w:r>
          </w:p>
        </w:tc>
        <w:tc>
          <w:tcPr>
            <w:tcW w:w="1530" w:type="dxa"/>
            <w:noWrap/>
            <w:hideMark/>
          </w:tcPr>
          <w:p w14:paraId="515CE6F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26</w:t>
            </w:r>
          </w:p>
        </w:tc>
      </w:tr>
      <w:tr w:rsidR="00435150" w:rsidRPr="00435150" w14:paraId="03A29169" w14:textId="77777777" w:rsidTr="00435150">
        <w:trPr>
          <w:trHeight w:val="315"/>
        </w:trPr>
        <w:tc>
          <w:tcPr>
            <w:tcW w:w="805" w:type="dxa"/>
            <w:noWrap/>
            <w:hideMark/>
          </w:tcPr>
          <w:p w14:paraId="680844C1"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2011</w:t>
            </w:r>
          </w:p>
        </w:tc>
        <w:tc>
          <w:tcPr>
            <w:tcW w:w="2520" w:type="dxa"/>
            <w:noWrap/>
            <w:hideMark/>
          </w:tcPr>
          <w:p w14:paraId="20427EE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75</w:t>
            </w:r>
          </w:p>
        </w:tc>
        <w:tc>
          <w:tcPr>
            <w:tcW w:w="1715" w:type="dxa"/>
            <w:noWrap/>
            <w:hideMark/>
          </w:tcPr>
          <w:p w14:paraId="320B0EC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4</w:t>
            </w:r>
          </w:p>
        </w:tc>
        <w:tc>
          <w:tcPr>
            <w:tcW w:w="1345" w:type="dxa"/>
            <w:noWrap/>
            <w:hideMark/>
          </w:tcPr>
          <w:p w14:paraId="6D42BE3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w:t>
            </w:r>
          </w:p>
        </w:tc>
        <w:tc>
          <w:tcPr>
            <w:tcW w:w="1530" w:type="dxa"/>
            <w:noWrap/>
            <w:hideMark/>
          </w:tcPr>
          <w:p w14:paraId="3488EAC0"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w:t>
            </w:r>
          </w:p>
        </w:tc>
      </w:tr>
      <w:tr w:rsidR="00435150" w:rsidRPr="00435150" w14:paraId="17F33E81" w14:textId="77777777" w:rsidTr="00435150">
        <w:trPr>
          <w:trHeight w:val="315"/>
        </w:trPr>
        <w:tc>
          <w:tcPr>
            <w:tcW w:w="805" w:type="dxa"/>
            <w:noWrap/>
            <w:hideMark/>
          </w:tcPr>
          <w:p w14:paraId="0EB10B7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2012</w:t>
            </w:r>
          </w:p>
        </w:tc>
        <w:tc>
          <w:tcPr>
            <w:tcW w:w="2520" w:type="dxa"/>
            <w:noWrap/>
            <w:hideMark/>
          </w:tcPr>
          <w:p w14:paraId="39118F0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66</w:t>
            </w:r>
          </w:p>
        </w:tc>
        <w:tc>
          <w:tcPr>
            <w:tcW w:w="1715" w:type="dxa"/>
            <w:noWrap/>
            <w:hideMark/>
          </w:tcPr>
          <w:p w14:paraId="71A9AFC0"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w:t>
            </w:r>
          </w:p>
        </w:tc>
        <w:tc>
          <w:tcPr>
            <w:tcW w:w="1345" w:type="dxa"/>
            <w:noWrap/>
            <w:hideMark/>
          </w:tcPr>
          <w:p w14:paraId="15C8444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12</w:t>
            </w:r>
          </w:p>
        </w:tc>
        <w:tc>
          <w:tcPr>
            <w:tcW w:w="1530" w:type="dxa"/>
            <w:noWrap/>
            <w:hideMark/>
          </w:tcPr>
          <w:p w14:paraId="3EEFFE15"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14</w:t>
            </w:r>
          </w:p>
        </w:tc>
      </w:tr>
      <w:tr w:rsidR="00435150" w:rsidRPr="00435150" w14:paraId="2BD4829A" w14:textId="77777777" w:rsidTr="00435150">
        <w:trPr>
          <w:trHeight w:val="315"/>
        </w:trPr>
        <w:tc>
          <w:tcPr>
            <w:tcW w:w="805" w:type="dxa"/>
            <w:noWrap/>
            <w:hideMark/>
          </w:tcPr>
          <w:p w14:paraId="69B18A4A"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2013</w:t>
            </w:r>
          </w:p>
        </w:tc>
        <w:tc>
          <w:tcPr>
            <w:tcW w:w="2520" w:type="dxa"/>
            <w:noWrap/>
            <w:hideMark/>
          </w:tcPr>
          <w:p w14:paraId="5B133842"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77</w:t>
            </w:r>
          </w:p>
        </w:tc>
        <w:tc>
          <w:tcPr>
            <w:tcW w:w="1715" w:type="dxa"/>
            <w:noWrap/>
            <w:hideMark/>
          </w:tcPr>
          <w:p w14:paraId="0B62341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w:t>
            </w:r>
          </w:p>
        </w:tc>
        <w:tc>
          <w:tcPr>
            <w:tcW w:w="1345" w:type="dxa"/>
            <w:noWrap/>
            <w:hideMark/>
          </w:tcPr>
          <w:p w14:paraId="51751059"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11</w:t>
            </w:r>
          </w:p>
        </w:tc>
        <w:tc>
          <w:tcPr>
            <w:tcW w:w="1530" w:type="dxa"/>
            <w:noWrap/>
            <w:hideMark/>
          </w:tcPr>
          <w:p w14:paraId="130116CD"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18</w:t>
            </w:r>
          </w:p>
        </w:tc>
      </w:tr>
      <w:tr w:rsidR="00435150" w:rsidRPr="00435150" w14:paraId="6690C3CA" w14:textId="77777777" w:rsidTr="00435150">
        <w:trPr>
          <w:trHeight w:val="315"/>
        </w:trPr>
        <w:tc>
          <w:tcPr>
            <w:tcW w:w="805" w:type="dxa"/>
            <w:noWrap/>
            <w:hideMark/>
          </w:tcPr>
          <w:p w14:paraId="12A31667"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2014</w:t>
            </w:r>
          </w:p>
        </w:tc>
        <w:tc>
          <w:tcPr>
            <w:tcW w:w="2520" w:type="dxa"/>
            <w:noWrap/>
            <w:hideMark/>
          </w:tcPr>
          <w:p w14:paraId="159F39B3"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65</w:t>
            </w:r>
          </w:p>
        </w:tc>
        <w:tc>
          <w:tcPr>
            <w:tcW w:w="1715" w:type="dxa"/>
            <w:noWrap/>
            <w:hideMark/>
          </w:tcPr>
          <w:p w14:paraId="1875380F"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w:t>
            </w:r>
          </w:p>
        </w:tc>
        <w:tc>
          <w:tcPr>
            <w:tcW w:w="1345" w:type="dxa"/>
            <w:noWrap/>
            <w:hideMark/>
          </w:tcPr>
          <w:p w14:paraId="63F45B7B"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7</w:t>
            </w:r>
          </w:p>
        </w:tc>
        <w:tc>
          <w:tcPr>
            <w:tcW w:w="1530" w:type="dxa"/>
            <w:noWrap/>
            <w:hideMark/>
          </w:tcPr>
          <w:p w14:paraId="30667B31"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19</w:t>
            </w:r>
          </w:p>
        </w:tc>
      </w:tr>
      <w:tr w:rsidR="00435150" w:rsidRPr="00435150" w14:paraId="317D3CDF" w14:textId="77777777" w:rsidTr="00435150">
        <w:trPr>
          <w:trHeight w:val="315"/>
        </w:trPr>
        <w:tc>
          <w:tcPr>
            <w:tcW w:w="805" w:type="dxa"/>
            <w:noWrap/>
            <w:hideMark/>
          </w:tcPr>
          <w:p w14:paraId="5AB4170A"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2015</w:t>
            </w:r>
          </w:p>
        </w:tc>
        <w:tc>
          <w:tcPr>
            <w:tcW w:w="2520" w:type="dxa"/>
            <w:noWrap/>
            <w:hideMark/>
          </w:tcPr>
          <w:p w14:paraId="49E4C1B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60</w:t>
            </w:r>
          </w:p>
        </w:tc>
        <w:tc>
          <w:tcPr>
            <w:tcW w:w="1715" w:type="dxa"/>
            <w:noWrap/>
            <w:hideMark/>
          </w:tcPr>
          <w:p w14:paraId="67E920BC"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5</w:t>
            </w:r>
          </w:p>
        </w:tc>
        <w:tc>
          <w:tcPr>
            <w:tcW w:w="1345" w:type="dxa"/>
            <w:noWrap/>
            <w:hideMark/>
          </w:tcPr>
          <w:p w14:paraId="7599CB86"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9</w:t>
            </w:r>
          </w:p>
        </w:tc>
        <w:tc>
          <w:tcPr>
            <w:tcW w:w="1530" w:type="dxa"/>
            <w:noWrap/>
            <w:hideMark/>
          </w:tcPr>
          <w:p w14:paraId="2821BDDB" w14:textId="77777777" w:rsidR="00435150" w:rsidRPr="00435150" w:rsidRDefault="00435150" w:rsidP="00435150">
            <w:pPr>
              <w:widowControl w:val="0"/>
              <w:suppressAutoHyphens/>
              <w:spacing w:line="480" w:lineRule="auto"/>
              <w:rPr>
                <w:rFonts w:ascii="Times New Roman" w:hAnsi="Times New Roman" w:cs="Times New Roman"/>
                <w:sz w:val="24"/>
                <w:szCs w:val="24"/>
              </w:rPr>
            </w:pPr>
            <w:r w:rsidRPr="00435150">
              <w:rPr>
                <w:rFonts w:ascii="Times New Roman" w:hAnsi="Times New Roman" w:cs="Times New Roman"/>
                <w:sz w:val="24"/>
                <w:szCs w:val="24"/>
              </w:rPr>
              <w:t>13</w:t>
            </w:r>
          </w:p>
        </w:tc>
      </w:tr>
    </w:tbl>
    <w:p w14:paraId="2C950756" w14:textId="77777777" w:rsidR="00435150" w:rsidRDefault="00435150" w:rsidP="00435150">
      <w:pPr>
        <w:widowControl w:val="0"/>
        <w:suppressAutoHyphens/>
        <w:spacing w:after="0" w:line="480" w:lineRule="auto"/>
        <w:rPr>
          <w:rFonts w:ascii="Times New Roman" w:hAnsi="Times New Roman" w:cs="Times New Roman"/>
          <w:sz w:val="24"/>
          <w:szCs w:val="24"/>
        </w:rPr>
      </w:pPr>
    </w:p>
    <w:p w14:paraId="6C473D4A" w14:textId="77777777" w:rsidR="000D38F9" w:rsidRDefault="000D38F9" w:rsidP="00435150">
      <w:pPr>
        <w:widowControl w:val="0"/>
        <w:suppressAutoHyphens/>
        <w:spacing w:after="0" w:line="480" w:lineRule="auto"/>
        <w:rPr>
          <w:rFonts w:ascii="Times New Roman" w:hAnsi="Times New Roman" w:cs="Times New Roman"/>
          <w:sz w:val="24"/>
          <w:szCs w:val="24"/>
        </w:rPr>
      </w:pPr>
    </w:p>
    <w:p w14:paraId="040731ED" w14:textId="77777777" w:rsidR="000D38F9" w:rsidRDefault="000D38F9" w:rsidP="00435150">
      <w:pPr>
        <w:widowControl w:val="0"/>
        <w:suppressAutoHyphens/>
        <w:spacing w:after="0" w:line="480" w:lineRule="auto"/>
        <w:rPr>
          <w:rFonts w:ascii="Times New Roman" w:hAnsi="Times New Roman" w:cs="Times New Roman"/>
          <w:sz w:val="24"/>
          <w:szCs w:val="24"/>
        </w:rPr>
      </w:pPr>
    </w:p>
    <w:p w14:paraId="23131642" w14:textId="77777777" w:rsidR="000D38F9" w:rsidRDefault="000D38F9" w:rsidP="00435150">
      <w:pPr>
        <w:widowControl w:val="0"/>
        <w:suppressAutoHyphens/>
        <w:spacing w:after="0" w:line="480" w:lineRule="auto"/>
        <w:rPr>
          <w:rFonts w:ascii="Times New Roman" w:hAnsi="Times New Roman" w:cs="Times New Roman"/>
          <w:sz w:val="24"/>
          <w:szCs w:val="24"/>
        </w:rPr>
      </w:pPr>
    </w:p>
    <w:p w14:paraId="2E49AE8E" w14:textId="77777777" w:rsidR="000D38F9" w:rsidRDefault="000D38F9" w:rsidP="00435150">
      <w:pPr>
        <w:widowControl w:val="0"/>
        <w:suppressAutoHyphens/>
        <w:spacing w:after="0" w:line="480" w:lineRule="auto"/>
        <w:rPr>
          <w:rFonts w:ascii="Times New Roman" w:hAnsi="Times New Roman" w:cs="Times New Roman"/>
          <w:sz w:val="24"/>
          <w:szCs w:val="24"/>
        </w:rPr>
      </w:pPr>
    </w:p>
    <w:p w14:paraId="5BBA497D" w14:textId="77777777" w:rsidR="000D38F9" w:rsidRDefault="000D38F9" w:rsidP="00435150">
      <w:pPr>
        <w:widowControl w:val="0"/>
        <w:suppressAutoHyphens/>
        <w:spacing w:after="0" w:line="480" w:lineRule="auto"/>
        <w:rPr>
          <w:rFonts w:ascii="Times New Roman" w:hAnsi="Times New Roman" w:cs="Times New Roman"/>
          <w:sz w:val="24"/>
          <w:szCs w:val="24"/>
        </w:rPr>
      </w:pPr>
    </w:p>
    <w:p w14:paraId="14A21A54" w14:textId="77777777" w:rsidR="000D38F9" w:rsidRDefault="000D38F9" w:rsidP="00435150">
      <w:pPr>
        <w:widowControl w:val="0"/>
        <w:suppressAutoHyphens/>
        <w:spacing w:after="0" w:line="480" w:lineRule="auto"/>
        <w:rPr>
          <w:rFonts w:ascii="Times New Roman" w:hAnsi="Times New Roman" w:cs="Times New Roman"/>
          <w:sz w:val="24"/>
          <w:szCs w:val="24"/>
        </w:rPr>
      </w:pPr>
    </w:p>
    <w:p w14:paraId="29D8BACB" w14:textId="77777777" w:rsidR="000D38F9" w:rsidRDefault="000D38F9" w:rsidP="00435150">
      <w:pPr>
        <w:widowControl w:val="0"/>
        <w:suppressAutoHyphens/>
        <w:spacing w:after="0" w:line="480" w:lineRule="auto"/>
        <w:rPr>
          <w:rFonts w:ascii="Times New Roman" w:hAnsi="Times New Roman" w:cs="Times New Roman"/>
          <w:sz w:val="24"/>
          <w:szCs w:val="24"/>
        </w:rPr>
      </w:pPr>
    </w:p>
    <w:p w14:paraId="5AC8041E" w14:textId="77777777" w:rsidR="0074185C" w:rsidRDefault="0074185C" w:rsidP="00435150">
      <w:pPr>
        <w:widowControl w:val="0"/>
        <w:suppressAutoHyphens/>
        <w:spacing w:after="0" w:line="480" w:lineRule="auto"/>
        <w:rPr>
          <w:rFonts w:ascii="Times New Roman" w:hAnsi="Times New Roman" w:cs="Times New Roman"/>
          <w:b/>
          <w:sz w:val="24"/>
          <w:szCs w:val="24"/>
        </w:rPr>
      </w:pPr>
    </w:p>
    <w:p w14:paraId="1DA38255" w14:textId="77777777" w:rsidR="00626761" w:rsidRDefault="00626761" w:rsidP="00435150">
      <w:pPr>
        <w:widowControl w:val="0"/>
        <w:suppressAutoHyphens/>
        <w:spacing w:after="0" w:line="480" w:lineRule="auto"/>
        <w:rPr>
          <w:rFonts w:ascii="Times New Roman" w:hAnsi="Times New Roman" w:cs="Times New Roman"/>
          <w:b/>
          <w:sz w:val="24"/>
          <w:szCs w:val="24"/>
        </w:rPr>
      </w:pPr>
    </w:p>
    <w:p w14:paraId="375E33AF" w14:textId="77777777" w:rsidR="00626761" w:rsidRDefault="00626761" w:rsidP="00435150">
      <w:pPr>
        <w:widowControl w:val="0"/>
        <w:suppressAutoHyphens/>
        <w:spacing w:after="0" w:line="480" w:lineRule="auto"/>
        <w:rPr>
          <w:rFonts w:ascii="Times New Roman" w:hAnsi="Times New Roman" w:cs="Times New Roman"/>
          <w:b/>
          <w:sz w:val="24"/>
          <w:szCs w:val="24"/>
        </w:rPr>
      </w:pPr>
    </w:p>
    <w:p w14:paraId="56088E53" w14:textId="77777777" w:rsidR="00626761" w:rsidRDefault="00626761" w:rsidP="00435150">
      <w:pPr>
        <w:widowControl w:val="0"/>
        <w:suppressAutoHyphens/>
        <w:spacing w:after="0" w:line="480" w:lineRule="auto"/>
        <w:rPr>
          <w:rFonts w:ascii="Times New Roman" w:hAnsi="Times New Roman" w:cs="Times New Roman"/>
          <w:b/>
          <w:sz w:val="24"/>
          <w:szCs w:val="24"/>
        </w:rPr>
      </w:pPr>
    </w:p>
    <w:p w14:paraId="081E52E6" w14:textId="77777777" w:rsidR="00626761" w:rsidRDefault="00626761" w:rsidP="00435150">
      <w:pPr>
        <w:widowControl w:val="0"/>
        <w:suppressAutoHyphens/>
        <w:spacing w:after="0" w:line="480" w:lineRule="auto"/>
        <w:rPr>
          <w:rFonts w:ascii="Times New Roman" w:hAnsi="Times New Roman" w:cs="Times New Roman"/>
          <w:b/>
          <w:sz w:val="24"/>
          <w:szCs w:val="24"/>
        </w:rPr>
      </w:pPr>
    </w:p>
    <w:p w14:paraId="6E4F4A07" w14:textId="77777777" w:rsidR="00626761" w:rsidRDefault="00626761" w:rsidP="00435150">
      <w:pPr>
        <w:widowControl w:val="0"/>
        <w:suppressAutoHyphens/>
        <w:spacing w:after="0" w:line="480" w:lineRule="auto"/>
        <w:rPr>
          <w:rFonts w:ascii="Times New Roman" w:hAnsi="Times New Roman" w:cs="Times New Roman"/>
          <w:b/>
          <w:sz w:val="24"/>
          <w:szCs w:val="24"/>
        </w:rPr>
      </w:pPr>
    </w:p>
    <w:p w14:paraId="7A82D303" w14:textId="0E5F04FE" w:rsidR="000D38F9" w:rsidRDefault="000D38F9" w:rsidP="00435150">
      <w:pPr>
        <w:widowControl w:val="0"/>
        <w:suppressAutoHyphen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Notes</w:t>
      </w:r>
    </w:p>
    <w:p w14:paraId="07E60F0F" w14:textId="77777777" w:rsidR="000D38F9" w:rsidRDefault="000D38F9" w:rsidP="00435150">
      <w:pPr>
        <w:widowControl w:val="0"/>
        <w:suppressAutoHyphens/>
        <w:spacing w:after="0" w:line="480" w:lineRule="auto"/>
        <w:rPr>
          <w:rFonts w:ascii="Times New Roman" w:hAnsi="Times New Roman" w:cs="Times New Roman"/>
          <w:sz w:val="24"/>
          <w:szCs w:val="24"/>
        </w:rPr>
        <w:sectPr w:rsidR="000D38F9" w:rsidSect="00626761">
          <w:footerReference w:type="default" r:id="rId7"/>
          <w:endnotePr>
            <w:numFmt w:val="decimal"/>
          </w:endnotePr>
          <w:pgSz w:w="12240" w:h="15840"/>
          <w:pgMar w:top="1440" w:right="1440" w:bottom="1440" w:left="1440" w:header="720" w:footer="720" w:gutter="0"/>
          <w:pgNumType w:start="0"/>
          <w:cols w:space="720"/>
          <w:titlePg/>
          <w:docGrid w:linePitch="360"/>
        </w:sectPr>
      </w:pPr>
    </w:p>
    <w:p w14:paraId="1FDC5465" w14:textId="77777777" w:rsidR="000D38F9" w:rsidRPr="000D38F9" w:rsidRDefault="000D38F9" w:rsidP="00435150">
      <w:pPr>
        <w:widowControl w:val="0"/>
        <w:suppressAutoHyphens/>
        <w:spacing w:after="0" w:line="480" w:lineRule="auto"/>
        <w:rPr>
          <w:rFonts w:ascii="Times New Roman" w:hAnsi="Times New Roman" w:cs="Times New Roman"/>
          <w:sz w:val="24"/>
          <w:szCs w:val="24"/>
        </w:rPr>
      </w:pPr>
    </w:p>
    <w:p w14:paraId="629E6508" w14:textId="77777777" w:rsidR="005A0040" w:rsidRPr="00EC4996" w:rsidRDefault="005A0040" w:rsidP="00EC4996">
      <w:pPr>
        <w:widowControl w:val="0"/>
        <w:suppressAutoHyphens/>
        <w:spacing w:after="0" w:line="480" w:lineRule="auto"/>
        <w:ind w:firstLine="432"/>
        <w:rPr>
          <w:rFonts w:ascii="Times New Roman" w:hAnsi="Times New Roman" w:cs="Times New Roman"/>
          <w:sz w:val="24"/>
          <w:szCs w:val="24"/>
        </w:rPr>
      </w:pPr>
    </w:p>
    <w:p w14:paraId="7196C28A" w14:textId="77777777" w:rsidR="00A36A35" w:rsidRDefault="00A36A35" w:rsidP="00975189">
      <w:pPr>
        <w:spacing w:line="480" w:lineRule="auto"/>
        <w:rPr>
          <w:rFonts w:ascii="Times New Roman" w:hAnsi="Times New Roman" w:cs="Times New Roman"/>
          <w:b/>
          <w:sz w:val="24"/>
          <w:szCs w:val="24"/>
        </w:rPr>
      </w:pPr>
    </w:p>
    <w:p w14:paraId="3FB211C8" w14:textId="77777777" w:rsidR="00A36A35" w:rsidRDefault="00A36A35" w:rsidP="00975189">
      <w:pPr>
        <w:spacing w:line="480" w:lineRule="auto"/>
        <w:rPr>
          <w:rFonts w:ascii="Times New Roman" w:hAnsi="Times New Roman" w:cs="Times New Roman"/>
          <w:b/>
          <w:sz w:val="24"/>
          <w:szCs w:val="24"/>
        </w:rPr>
      </w:pPr>
    </w:p>
    <w:p w14:paraId="2D6103FE" w14:textId="77777777" w:rsidR="00A36A35" w:rsidRDefault="00A36A35" w:rsidP="00975189">
      <w:pPr>
        <w:spacing w:line="480" w:lineRule="auto"/>
        <w:rPr>
          <w:rFonts w:ascii="Times New Roman" w:hAnsi="Times New Roman" w:cs="Times New Roman"/>
          <w:b/>
          <w:sz w:val="24"/>
          <w:szCs w:val="24"/>
        </w:rPr>
      </w:pPr>
    </w:p>
    <w:p w14:paraId="7DE2F50C" w14:textId="77777777" w:rsidR="00A36A35" w:rsidRDefault="00A36A35" w:rsidP="00975189">
      <w:pPr>
        <w:spacing w:line="480" w:lineRule="auto"/>
        <w:rPr>
          <w:rFonts w:ascii="Times New Roman" w:hAnsi="Times New Roman" w:cs="Times New Roman"/>
          <w:b/>
          <w:sz w:val="24"/>
          <w:szCs w:val="24"/>
        </w:rPr>
      </w:pPr>
    </w:p>
    <w:p w14:paraId="06DFBC08" w14:textId="77777777" w:rsidR="00A36A35" w:rsidRDefault="00A36A35" w:rsidP="00975189">
      <w:pPr>
        <w:spacing w:line="480" w:lineRule="auto"/>
        <w:rPr>
          <w:rFonts w:ascii="Times New Roman" w:hAnsi="Times New Roman" w:cs="Times New Roman"/>
          <w:b/>
          <w:sz w:val="24"/>
          <w:szCs w:val="24"/>
        </w:rPr>
      </w:pPr>
    </w:p>
    <w:p w14:paraId="503D3D52" w14:textId="77777777" w:rsidR="00A36A35" w:rsidRDefault="00A36A35" w:rsidP="00975189">
      <w:pPr>
        <w:spacing w:line="480" w:lineRule="auto"/>
        <w:rPr>
          <w:rFonts w:ascii="Times New Roman" w:hAnsi="Times New Roman" w:cs="Times New Roman"/>
          <w:b/>
          <w:sz w:val="24"/>
          <w:szCs w:val="24"/>
        </w:rPr>
      </w:pPr>
    </w:p>
    <w:p w14:paraId="4652E6F6" w14:textId="77777777" w:rsidR="0074185C" w:rsidRDefault="0074185C" w:rsidP="00975189">
      <w:pPr>
        <w:spacing w:line="480" w:lineRule="auto"/>
        <w:rPr>
          <w:rFonts w:ascii="Times New Roman" w:hAnsi="Times New Roman" w:cs="Times New Roman"/>
          <w:b/>
          <w:sz w:val="24"/>
          <w:szCs w:val="24"/>
        </w:rPr>
      </w:pPr>
    </w:p>
    <w:p w14:paraId="618D0018" w14:textId="77777777" w:rsidR="00626761" w:rsidRDefault="00626761" w:rsidP="00975189">
      <w:pPr>
        <w:spacing w:line="480" w:lineRule="auto"/>
        <w:rPr>
          <w:rFonts w:ascii="Times New Roman" w:hAnsi="Times New Roman" w:cs="Times New Roman"/>
          <w:b/>
          <w:sz w:val="24"/>
          <w:szCs w:val="24"/>
        </w:rPr>
      </w:pPr>
    </w:p>
    <w:p w14:paraId="144C0C23" w14:textId="77777777" w:rsidR="00626761" w:rsidRDefault="00626761" w:rsidP="00975189">
      <w:pPr>
        <w:spacing w:line="480" w:lineRule="auto"/>
        <w:rPr>
          <w:rFonts w:ascii="Times New Roman" w:hAnsi="Times New Roman" w:cs="Times New Roman"/>
          <w:b/>
          <w:sz w:val="24"/>
          <w:szCs w:val="24"/>
        </w:rPr>
      </w:pPr>
    </w:p>
    <w:p w14:paraId="6959D9DB" w14:textId="794983A3" w:rsidR="00A7556F" w:rsidRDefault="00A7556F" w:rsidP="0097518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3707851E" w14:textId="77777777" w:rsidR="00953E31" w:rsidRDefault="00953E31" w:rsidP="00FE26D9">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953E31">
        <w:rPr>
          <w:rFonts w:ascii="Times New Roman" w:eastAsia="SimSun" w:hAnsi="Times New Roman" w:cs="Mangal"/>
          <w:kern w:val="1"/>
          <w:sz w:val="24"/>
          <w:szCs w:val="24"/>
          <w:lang w:eastAsia="hi-IN" w:bidi="hi-IN"/>
        </w:rPr>
        <w:t xml:space="preserve">Black, Ryan C., Ryan J. Owens, Daniel E. Walters, and Jennifer L. Brookhart. 2014. “Upending a Global Debate: An Empirical Analysis of the U.S. Supreme Court’s use of Transnational Law to Interpret Domestic Doctrine.” </w:t>
      </w:r>
      <w:r w:rsidRPr="00953E31">
        <w:rPr>
          <w:rFonts w:ascii="Times New Roman" w:eastAsia="SimSun" w:hAnsi="Times New Roman" w:cs="Mangal"/>
          <w:i/>
          <w:kern w:val="1"/>
          <w:sz w:val="24"/>
          <w:szCs w:val="24"/>
          <w:lang w:eastAsia="hi-IN" w:bidi="hi-IN"/>
        </w:rPr>
        <w:t xml:space="preserve">The Georgetown Law Journal </w:t>
      </w:r>
      <w:r w:rsidRPr="00953E31">
        <w:rPr>
          <w:rFonts w:ascii="Times New Roman" w:eastAsia="SimSun" w:hAnsi="Times New Roman" w:cs="Mangal"/>
          <w:kern w:val="1"/>
          <w:sz w:val="24"/>
          <w:szCs w:val="24"/>
          <w:lang w:eastAsia="hi-IN" w:bidi="hi-IN"/>
        </w:rPr>
        <w:t>103: 1-46</w:t>
      </w:r>
    </w:p>
    <w:p w14:paraId="368AB294" w14:textId="77777777" w:rsidR="00953E31" w:rsidRDefault="00953E31"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953E31">
        <w:rPr>
          <w:rFonts w:ascii="Times New Roman" w:eastAsia="SimSun" w:hAnsi="Times New Roman" w:cs="Mangal"/>
          <w:kern w:val="1"/>
          <w:sz w:val="24"/>
          <w:szCs w:val="24"/>
          <w:lang w:eastAsia="hi-IN" w:bidi="hi-IN"/>
        </w:rPr>
        <w:t xml:space="preserve">Breyer, Stephen. 2015. </w:t>
      </w:r>
      <w:r w:rsidRPr="00953E31">
        <w:rPr>
          <w:rFonts w:ascii="Times New Roman" w:eastAsia="SimSun" w:hAnsi="Times New Roman" w:cs="Mangal"/>
          <w:i/>
          <w:kern w:val="1"/>
          <w:sz w:val="24"/>
          <w:szCs w:val="24"/>
          <w:lang w:eastAsia="hi-IN" w:bidi="hi-IN"/>
        </w:rPr>
        <w:t xml:space="preserve">The Court and the World: American Law and the New Global Realities. </w:t>
      </w:r>
      <w:r w:rsidRPr="00953E31">
        <w:rPr>
          <w:rFonts w:ascii="Times New Roman" w:eastAsia="SimSun" w:hAnsi="Times New Roman" w:cs="Mangal"/>
          <w:kern w:val="1"/>
          <w:sz w:val="24"/>
          <w:szCs w:val="24"/>
          <w:lang w:eastAsia="hi-IN" w:bidi="hi-IN"/>
        </w:rPr>
        <w:t>New York: Random House Inc.</w:t>
      </w:r>
    </w:p>
    <w:p w14:paraId="01F1BA13" w14:textId="77777777" w:rsidR="00FD7C0B" w:rsidRPr="00FD7C0B" w:rsidRDefault="00FD7C0B"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proofErr w:type="spellStart"/>
      <w:r>
        <w:rPr>
          <w:rFonts w:ascii="Times New Roman" w:eastAsia="SimSun" w:hAnsi="Times New Roman" w:cs="Mangal"/>
          <w:kern w:val="1"/>
          <w:sz w:val="24"/>
          <w:szCs w:val="24"/>
          <w:lang w:eastAsia="hi-IN" w:bidi="hi-IN"/>
        </w:rPr>
        <w:t>Caldeira</w:t>
      </w:r>
      <w:proofErr w:type="spellEnd"/>
      <w:r>
        <w:rPr>
          <w:rFonts w:ascii="Times New Roman" w:eastAsia="SimSun" w:hAnsi="Times New Roman" w:cs="Mangal"/>
          <w:kern w:val="1"/>
          <w:sz w:val="24"/>
          <w:szCs w:val="24"/>
          <w:lang w:eastAsia="hi-IN" w:bidi="hi-IN"/>
        </w:rPr>
        <w:t xml:space="preserve">, Gregory A., and John R. Wright. 1988. “Organized Interests and Agenda Setting in the U.S. Supreme Court.” </w:t>
      </w:r>
      <w:r>
        <w:rPr>
          <w:rFonts w:ascii="Times New Roman" w:eastAsia="SimSun" w:hAnsi="Times New Roman" w:cs="Mangal"/>
          <w:i/>
          <w:kern w:val="1"/>
          <w:sz w:val="24"/>
          <w:szCs w:val="24"/>
          <w:lang w:eastAsia="hi-IN" w:bidi="hi-IN"/>
        </w:rPr>
        <w:t xml:space="preserve">American Political Science Review </w:t>
      </w:r>
      <w:r>
        <w:rPr>
          <w:rFonts w:ascii="Times New Roman" w:eastAsia="SimSun" w:hAnsi="Times New Roman" w:cs="Mangal"/>
          <w:kern w:val="1"/>
          <w:sz w:val="24"/>
          <w:szCs w:val="24"/>
          <w:lang w:eastAsia="hi-IN" w:bidi="hi-IN"/>
        </w:rPr>
        <w:t>82: 1109-27.</w:t>
      </w:r>
    </w:p>
    <w:p w14:paraId="317C2A5E" w14:textId="77777777" w:rsidR="00D63BFC" w:rsidRPr="00D63BFC" w:rsidRDefault="00D63BFC"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Collins, Paul M. Jr. 2004. “Friends of the Court: Examining the Influence of Amicus Curiae Participation in U.S. Supreme Court Litigation.” </w:t>
      </w:r>
      <w:r>
        <w:rPr>
          <w:rFonts w:ascii="Times New Roman" w:eastAsia="SimSun" w:hAnsi="Times New Roman" w:cs="Mangal"/>
          <w:i/>
          <w:kern w:val="1"/>
          <w:sz w:val="24"/>
          <w:szCs w:val="24"/>
          <w:lang w:eastAsia="hi-IN" w:bidi="hi-IN"/>
        </w:rPr>
        <w:t xml:space="preserve">Law and Society Review </w:t>
      </w:r>
      <w:r>
        <w:rPr>
          <w:rFonts w:ascii="Times New Roman" w:eastAsia="SimSun" w:hAnsi="Times New Roman" w:cs="Mangal"/>
          <w:kern w:val="1"/>
          <w:sz w:val="24"/>
          <w:szCs w:val="24"/>
          <w:lang w:eastAsia="hi-IN" w:bidi="hi-IN"/>
        </w:rPr>
        <w:t>38(4): 807-32.</w:t>
      </w:r>
    </w:p>
    <w:p w14:paraId="03722C39" w14:textId="77777777" w:rsidR="00223F33" w:rsidRPr="00223F33" w:rsidRDefault="00436E9E"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w:t>
      </w:r>
      <w:r w:rsidR="00223F33">
        <w:rPr>
          <w:rFonts w:ascii="Times New Roman" w:eastAsia="SimSun" w:hAnsi="Times New Roman" w:cs="Mangal"/>
          <w:kern w:val="1"/>
          <w:sz w:val="24"/>
          <w:szCs w:val="24"/>
          <w:lang w:eastAsia="hi-IN" w:bidi="hi-IN"/>
        </w:rPr>
        <w:t xml:space="preserve">. 2008. </w:t>
      </w:r>
      <w:r w:rsidR="00223F33">
        <w:rPr>
          <w:rFonts w:ascii="Times New Roman" w:eastAsia="SimSun" w:hAnsi="Times New Roman" w:cs="Mangal"/>
          <w:i/>
          <w:kern w:val="1"/>
          <w:sz w:val="24"/>
          <w:szCs w:val="24"/>
          <w:lang w:eastAsia="hi-IN" w:bidi="hi-IN"/>
        </w:rPr>
        <w:t xml:space="preserve">Friends of the Supreme Court: Interest Groups and Judicial Decision Making. </w:t>
      </w:r>
      <w:r w:rsidR="00223F33">
        <w:rPr>
          <w:rFonts w:ascii="Times New Roman" w:eastAsia="SimSun" w:hAnsi="Times New Roman" w:cs="Mangal"/>
          <w:kern w:val="1"/>
          <w:sz w:val="24"/>
          <w:szCs w:val="24"/>
          <w:lang w:eastAsia="hi-IN" w:bidi="hi-IN"/>
        </w:rPr>
        <w:t>New York: Oxford University Press.</w:t>
      </w:r>
    </w:p>
    <w:p w14:paraId="4E17498B" w14:textId="77777777" w:rsidR="00D90642" w:rsidRDefault="00D90642"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Collins, Paul M. Jr., Pamela C. Corley, and Jesse </w:t>
      </w:r>
      <w:proofErr w:type="spellStart"/>
      <w:r>
        <w:rPr>
          <w:rFonts w:ascii="Times New Roman" w:eastAsia="SimSun" w:hAnsi="Times New Roman" w:cs="Mangal"/>
          <w:kern w:val="1"/>
          <w:sz w:val="24"/>
          <w:szCs w:val="24"/>
          <w:lang w:eastAsia="hi-IN" w:bidi="hi-IN"/>
        </w:rPr>
        <w:t>Hamner</w:t>
      </w:r>
      <w:proofErr w:type="spellEnd"/>
      <w:r>
        <w:rPr>
          <w:rFonts w:ascii="Times New Roman" w:eastAsia="SimSun" w:hAnsi="Times New Roman" w:cs="Mangal"/>
          <w:kern w:val="1"/>
          <w:sz w:val="24"/>
          <w:szCs w:val="24"/>
          <w:lang w:eastAsia="hi-IN" w:bidi="hi-IN"/>
        </w:rPr>
        <w:t xml:space="preserve">. 2015. “The Influence of Amicus Curiae Briefs on U.S. Supreme Court Opinion Content.” </w:t>
      </w:r>
      <w:r>
        <w:rPr>
          <w:rFonts w:ascii="Times New Roman" w:eastAsia="SimSun" w:hAnsi="Times New Roman" w:cs="Mangal"/>
          <w:i/>
          <w:kern w:val="1"/>
          <w:sz w:val="24"/>
          <w:szCs w:val="24"/>
          <w:lang w:eastAsia="hi-IN" w:bidi="hi-IN"/>
        </w:rPr>
        <w:t xml:space="preserve">Law and Society Review </w:t>
      </w:r>
      <w:r>
        <w:rPr>
          <w:rFonts w:ascii="Times New Roman" w:eastAsia="SimSun" w:hAnsi="Times New Roman" w:cs="Mangal"/>
          <w:kern w:val="1"/>
          <w:sz w:val="24"/>
          <w:szCs w:val="24"/>
          <w:lang w:eastAsia="hi-IN" w:bidi="hi-IN"/>
        </w:rPr>
        <w:t>49(4): 917-44.</w:t>
      </w:r>
    </w:p>
    <w:p w14:paraId="6E6D343B" w14:textId="77777777" w:rsidR="00B272DB" w:rsidRDefault="00B272DB"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Corley, Pamela C. 2008. “The Supreme Court and Opinion Content: The Influence of the Parties’ Briefs.” </w:t>
      </w:r>
      <w:r>
        <w:rPr>
          <w:rFonts w:ascii="Times New Roman" w:eastAsia="SimSun" w:hAnsi="Times New Roman" w:cs="Mangal"/>
          <w:i/>
          <w:kern w:val="1"/>
          <w:sz w:val="24"/>
          <w:szCs w:val="24"/>
          <w:lang w:eastAsia="hi-IN" w:bidi="hi-IN"/>
        </w:rPr>
        <w:t xml:space="preserve">Political Research Quarterly </w:t>
      </w:r>
      <w:r>
        <w:rPr>
          <w:rFonts w:ascii="Times New Roman" w:eastAsia="SimSun" w:hAnsi="Times New Roman" w:cs="Mangal"/>
          <w:kern w:val="1"/>
          <w:sz w:val="24"/>
          <w:szCs w:val="24"/>
          <w:lang w:eastAsia="hi-IN" w:bidi="hi-IN"/>
        </w:rPr>
        <w:t>61(3): 468-78.</w:t>
      </w:r>
    </w:p>
    <w:p w14:paraId="6E79BA5C" w14:textId="77777777" w:rsidR="009A5425" w:rsidRPr="00B272DB" w:rsidRDefault="009A5425"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Corley, Pamela C., Paul M. Collins, and Bryan Calvin. 2011. “Lower Court Influence on U.S. Supreme Court Opinion Content.” </w:t>
      </w:r>
      <w:r>
        <w:rPr>
          <w:rFonts w:ascii="Times New Roman" w:eastAsia="SimSun" w:hAnsi="Times New Roman" w:cs="Mangal"/>
          <w:i/>
          <w:kern w:val="1"/>
          <w:sz w:val="24"/>
          <w:szCs w:val="24"/>
          <w:lang w:eastAsia="hi-IN" w:bidi="hi-IN"/>
        </w:rPr>
        <w:t xml:space="preserve">The Journal of Politics </w:t>
      </w:r>
      <w:r>
        <w:rPr>
          <w:rFonts w:ascii="Times New Roman" w:eastAsia="SimSun" w:hAnsi="Times New Roman" w:cs="Mangal"/>
          <w:kern w:val="1"/>
          <w:sz w:val="24"/>
          <w:szCs w:val="24"/>
          <w:lang w:eastAsia="hi-IN" w:bidi="hi-IN"/>
        </w:rPr>
        <w:t xml:space="preserve">73(1): 31-44. </w:t>
      </w:r>
    </w:p>
    <w:p w14:paraId="4EEF503C" w14:textId="77777777" w:rsidR="00A7556F" w:rsidRDefault="00A7556F"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A7556F">
        <w:rPr>
          <w:rFonts w:ascii="Times New Roman" w:eastAsia="SimSun" w:hAnsi="Times New Roman" w:cs="Mangal"/>
          <w:kern w:val="1"/>
          <w:sz w:val="24"/>
          <w:szCs w:val="24"/>
          <w:lang w:eastAsia="hi-IN" w:bidi="hi-IN"/>
        </w:rPr>
        <w:t xml:space="preserve">Diel, Paul F., Charlotte Ku, and Daniel Zamora. 2003. “The Dynamics of International Law: The Interaction of Normative and Operating Systems.” </w:t>
      </w:r>
      <w:r w:rsidRPr="00A7556F">
        <w:rPr>
          <w:rFonts w:ascii="Times New Roman" w:eastAsia="SimSun" w:hAnsi="Times New Roman" w:cs="Mangal"/>
          <w:i/>
          <w:kern w:val="1"/>
          <w:sz w:val="24"/>
          <w:szCs w:val="24"/>
          <w:lang w:eastAsia="hi-IN" w:bidi="hi-IN"/>
        </w:rPr>
        <w:t xml:space="preserve">International Organization </w:t>
      </w:r>
      <w:r w:rsidRPr="00A7556F">
        <w:rPr>
          <w:rFonts w:ascii="Times New Roman" w:eastAsia="SimSun" w:hAnsi="Times New Roman" w:cs="Mangal"/>
          <w:kern w:val="1"/>
          <w:sz w:val="24"/>
          <w:szCs w:val="24"/>
          <w:lang w:eastAsia="hi-IN" w:bidi="hi-IN"/>
        </w:rPr>
        <w:t>57(1): 43-75.</w:t>
      </w:r>
    </w:p>
    <w:p w14:paraId="4DE5EE87" w14:textId="77777777" w:rsidR="00B920B3" w:rsidRPr="00B920B3" w:rsidRDefault="00B920B3"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Ennis, Bruce J. 1984. “Symposium on Supreme Court Advocacy: Effective Amicus Briefs.” </w:t>
      </w:r>
      <w:r>
        <w:rPr>
          <w:rFonts w:ascii="Times New Roman" w:eastAsia="SimSun" w:hAnsi="Times New Roman" w:cs="Mangal"/>
          <w:i/>
          <w:kern w:val="1"/>
          <w:sz w:val="24"/>
          <w:szCs w:val="24"/>
          <w:lang w:eastAsia="hi-IN" w:bidi="hi-IN"/>
        </w:rPr>
        <w:t xml:space="preserve">Catholic University Law Review </w:t>
      </w:r>
      <w:r>
        <w:rPr>
          <w:rFonts w:ascii="Times New Roman" w:eastAsia="SimSun" w:hAnsi="Times New Roman" w:cs="Mangal"/>
          <w:kern w:val="1"/>
          <w:sz w:val="24"/>
          <w:szCs w:val="24"/>
          <w:lang w:eastAsia="hi-IN" w:bidi="hi-IN"/>
        </w:rPr>
        <w:t>33: 603-9.</w:t>
      </w:r>
    </w:p>
    <w:p w14:paraId="08FC9DFE" w14:textId="77777777" w:rsidR="00FE26D9" w:rsidRDefault="00FE26D9"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Epp, Charles. 1998. </w:t>
      </w:r>
      <w:r>
        <w:rPr>
          <w:rFonts w:ascii="Times New Roman" w:eastAsia="SimSun" w:hAnsi="Times New Roman" w:cs="Mangal"/>
          <w:i/>
          <w:kern w:val="1"/>
          <w:sz w:val="24"/>
          <w:szCs w:val="24"/>
          <w:lang w:eastAsia="hi-IN" w:bidi="hi-IN"/>
        </w:rPr>
        <w:t xml:space="preserve">The Rights Revolution: Lawyers, Activists and Supreme Courts in Comparative Perspective. </w:t>
      </w:r>
      <w:r w:rsidR="00B11FEA">
        <w:rPr>
          <w:rFonts w:ascii="Times New Roman" w:eastAsia="SimSun" w:hAnsi="Times New Roman" w:cs="Mangal"/>
          <w:kern w:val="1"/>
          <w:sz w:val="24"/>
          <w:szCs w:val="24"/>
          <w:lang w:eastAsia="hi-IN" w:bidi="hi-IN"/>
        </w:rPr>
        <w:t>Chicago: The University of Chicago Press.</w:t>
      </w:r>
    </w:p>
    <w:p w14:paraId="5E45D0CB" w14:textId="77777777" w:rsidR="00B920B3" w:rsidRDefault="00B920B3"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Epstein, Lee. 1993. “Interest Group Litigation During the Rehnquist Court Era.” </w:t>
      </w:r>
      <w:r>
        <w:rPr>
          <w:rFonts w:ascii="Times New Roman" w:eastAsia="SimSun" w:hAnsi="Times New Roman" w:cs="Mangal"/>
          <w:i/>
          <w:kern w:val="1"/>
          <w:sz w:val="24"/>
          <w:szCs w:val="24"/>
          <w:lang w:eastAsia="hi-IN" w:bidi="hi-IN"/>
        </w:rPr>
        <w:t xml:space="preserve">Journal of Law and Politics </w:t>
      </w:r>
      <w:r>
        <w:rPr>
          <w:rFonts w:ascii="Times New Roman" w:eastAsia="SimSun" w:hAnsi="Times New Roman" w:cs="Mangal"/>
          <w:kern w:val="1"/>
          <w:sz w:val="24"/>
          <w:szCs w:val="24"/>
          <w:lang w:eastAsia="hi-IN" w:bidi="hi-IN"/>
        </w:rPr>
        <w:t>9: 639-717.</w:t>
      </w:r>
    </w:p>
    <w:p w14:paraId="3767EC70" w14:textId="77777777" w:rsidR="002A74A5" w:rsidRPr="002A74A5" w:rsidRDefault="002A74A5" w:rsidP="002A74A5">
      <w:pPr>
        <w:spacing w:line="276" w:lineRule="auto"/>
        <w:ind w:left="432" w:hanging="432"/>
        <w:rPr>
          <w:rFonts w:ascii="Times New Roman" w:hAnsi="Times New Roman" w:cs="Times New Roman"/>
          <w:sz w:val="24"/>
          <w:szCs w:val="24"/>
        </w:rPr>
      </w:pPr>
      <w:r w:rsidRPr="002A74A5">
        <w:rPr>
          <w:rFonts w:ascii="Times New Roman" w:hAnsi="Times New Roman" w:cs="Times New Roman"/>
          <w:sz w:val="24"/>
          <w:szCs w:val="24"/>
        </w:rPr>
        <w:t xml:space="preserve">Epstein, Lee, and Ryan C. Black. 2007. “(Re-)Setting the Scholarly Agenda on </w:t>
      </w:r>
      <w:r w:rsidRPr="002A74A5">
        <w:rPr>
          <w:rFonts w:ascii="Times New Roman" w:hAnsi="Times New Roman" w:cs="Times New Roman"/>
          <w:noProof/>
          <w:sz w:val="24"/>
          <w:szCs w:val="24"/>
        </w:rPr>
        <w:t>Transjudicial</w:t>
      </w:r>
      <w:r w:rsidRPr="002A74A5">
        <w:rPr>
          <w:rFonts w:ascii="Times New Roman" w:hAnsi="Times New Roman" w:cs="Times New Roman"/>
          <w:sz w:val="24"/>
          <w:szCs w:val="24"/>
        </w:rPr>
        <w:t xml:space="preserve"> Communication.” </w:t>
      </w:r>
      <w:r w:rsidRPr="002A74A5">
        <w:rPr>
          <w:rFonts w:ascii="Times New Roman" w:hAnsi="Times New Roman" w:cs="Times New Roman"/>
          <w:i/>
          <w:sz w:val="24"/>
          <w:szCs w:val="24"/>
        </w:rPr>
        <w:t xml:space="preserve">Law &amp; Social Inquiry </w:t>
      </w:r>
      <w:r w:rsidRPr="002A74A5">
        <w:rPr>
          <w:rFonts w:ascii="Times New Roman" w:hAnsi="Times New Roman" w:cs="Times New Roman"/>
          <w:sz w:val="24"/>
          <w:szCs w:val="24"/>
        </w:rPr>
        <w:t>32(3): 791-807.</w:t>
      </w:r>
    </w:p>
    <w:p w14:paraId="28E665B9" w14:textId="77777777" w:rsidR="00F13EA2" w:rsidRDefault="00F13EA2"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Epstein, Lee, and Joseph F. </w:t>
      </w:r>
      <w:proofErr w:type="spellStart"/>
      <w:r>
        <w:rPr>
          <w:rFonts w:ascii="Times New Roman" w:eastAsia="SimSun" w:hAnsi="Times New Roman" w:cs="Mangal"/>
          <w:kern w:val="1"/>
          <w:sz w:val="24"/>
          <w:szCs w:val="24"/>
          <w:lang w:eastAsia="hi-IN" w:bidi="hi-IN"/>
        </w:rPr>
        <w:t>Kobylka</w:t>
      </w:r>
      <w:proofErr w:type="spellEnd"/>
      <w:r>
        <w:rPr>
          <w:rFonts w:ascii="Times New Roman" w:eastAsia="SimSun" w:hAnsi="Times New Roman" w:cs="Mangal"/>
          <w:kern w:val="1"/>
          <w:sz w:val="24"/>
          <w:szCs w:val="24"/>
          <w:lang w:eastAsia="hi-IN" w:bidi="hi-IN"/>
        </w:rPr>
        <w:t xml:space="preserve">. 1992. </w:t>
      </w:r>
      <w:r>
        <w:rPr>
          <w:rFonts w:ascii="Times New Roman" w:eastAsia="SimSun" w:hAnsi="Times New Roman" w:cs="Mangal"/>
          <w:i/>
          <w:kern w:val="1"/>
          <w:sz w:val="24"/>
          <w:szCs w:val="24"/>
          <w:lang w:eastAsia="hi-IN" w:bidi="hi-IN"/>
        </w:rPr>
        <w:t xml:space="preserve">The Supreme Court and Legal Change: Abortion and the Death Penalty. </w:t>
      </w:r>
      <w:r>
        <w:rPr>
          <w:rFonts w:ascii="Times New Roman" w:eastAsia="SimSun" w:hAnsi="Times New Roman" w:cs="Mangal"/>
          <w:kern w:val="1"/>
          <w:sz w:val="24"/>
          <w:szCs w:val="24"/>
          <w:lang w:eastAsia="hi-IN" w:bidi="hi-IN"/>
        </w:rPr>
        <w:t>Chapel Hill: The University of North Carolina Press.</w:t>
      </w:r>
    </w:p>
    <w:p w14:paraId="29D9264D" w14:textId="77777777" w:rsidR="0075592A" w:rsidRPr="0075592A" w:rsidRDefault="0075592A"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Feldman, Adam. 2016. “All Copying Is Not Created Equal: Examining Supreme Court Opinions’ Borrowed Language.” </w:t>
      </w:r>
      <w:r>
        <w:rPr>
          <w:rFonts w:ascii="Times New Roman" w:eastAsia="SimSun" w:hAnsi="Times New Roman" w:cs="Mangal"/>
          <w:i/>
          <w:kern w:val="1"/>
          <w:sz w:val="24"/>
          <w:szCs w:val="24"/>
          <w:lang w:eastAsia="hi-IN" w:bidi="hi-IN"/>
        </w:rPr>
        <w:t xml:space="preserve">Journal of Appellate Practice and Process </w:t>
      </w:r>
      <w:r>
        <w:rPr>
          <w:rFonts w:ascii="Times New Roman" w:eastAsia="SimSun" w:hAnsi="Times New Roman" w:cs="Mangal"/>
          <w:kern w:val="1"/>
          <w:sz w:val="24"/>
          <w:szCs w:val="24"/>
          <w:lang w:eastAsia="hi-IN" w:bidi="hi-IN"/>
        </w:rPr>
        <w:t xml:space="preserve">17(21). </w:t>
      </w:r>
      <w:r w:rsidRPr="0075592A">
        <w:rPr>
          <w:rFonts w:ascii="Times New Roman" w:eastAsia="SimSun" w:hAnsi="Times New Roman" w:cs="Mangal"/>
          <w:kern w:val="1"/>
          <w:sz w:val="24"/>
          <w:szCs w:val="24"/>
          <w:lang w:eastAsia="hi-IN" w:bidi="hi-IN"/>
        </w:rPr>
        <w:t>http://dx.doi.org/10.2139/ssrn.2679625</w:t>
      </w:r>
      <w:r>
        <w:rPr>
          <w:rFonts w:ascii="Times New Roman" w:eastAsia="SimSun" w:hAnsi="Times New Roman" w:cs="Mangal"/>
          <w:kern w:val="1"/>
          <w:sz w:val="24"/>
          <w:szCs w:val="24"/>
          <w:lang w:eastAsia="hi-IN" w:bidi="hi-IN"/>
        </w:rPr>
        <w:t xml:space="preserve"> (</w:t>
      </w:r>
      <w:r w:rsidR="00B272DB">
        <w:rPr>
          <w:rFonts w:ascii="Times New Roman" w:eastAsia="SimSun" w:hAnsi="Times New Roman" w:cs="Mangal"/>
          <w:kern w:val="1"/>
          <w:sz w:val="24"/>
          <w:szCs w:val="24"/>
          <w:lang w:eastAsia="hi-IN" w:bidi="hi-IN"/>
        </w:rPr>
        <w:t>December 1, 2016).</w:t>
      </w:r>
    </w:p>
    <w:p w14:paraId="0A9F2561" w14:textId="77777777" w:rsidR="008C3C73" w:rsidRPr="00F13EA2" w:rsidRDefault="00436E9E"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lastRenderedPageBreak/>
        <w:t>———</w:t>
      </w:r>
      <w:r w:rsidR="008C3C73">
        <w:rPr>
          <w:rFonts w:ascii="Times New Roman" w:eastAsia="SimSun" w:hAnsi="Times New Roman" w:cs="Mangal"/>
          <w:kern w:val="1"/>
          <w:sz w:val="24"/>
          <w:szCs w:val="24"/>
          <w:lang w:eastAsia="hi-IN" w:bidi="hi-IN"/>
        </w:rPr>
        <w:t xml:space="preserve">. 2017. “Opinion Construction in the Roberts Court.” </w:t>
      </w:r>
      <w:r w:rsidR="008C3C73">
        <w:rPr>
          <w:rFonts w:ascii="Times New Roman" w:eastAsia="SimSun" w:hAnsi="Times New Roman" w:cs="Mangal"/>
          <w:i/>
          <w:kern w:val="1"/>
          <w:sz w:val="24"/>
          <w:szCs w:val="24"/>
          <w:lang w:eastAsia="hi-IN" w:bidi="hi-IN"/>
        </w:rPr>
        <w:t>Law and Policy</w:t>
      </w:r>
      <w:r w:rsidR="0075592A">
        <w:rPr>
          <w:rFonts w:ascii="Times New Roman" w:eastAsia="SimSun" w:hAnsi="Times New Roman" w:cs="Mangal"/>
          <w:i/>
          <w:kern w:val="1"/>
          <w:sz w:val="24"/>
          <w:szCs w:val="24"/>
          <w:lang w:eastAsia="hi-IN" w:bidi="hi-IN"/>
        </w:rPr>
        <w:t>.</w:t>
      </w:r>
      <w:r w:rsidR="008C3C73">
        <w:rPr>
          <w:rFonts w:ascii="Times New Roman" w:eastAsia="SimSun" w:hAnsi="Times New Roman" w:cs="Mangal"/>
          <w:i/>
          <w:kern w:val="1"/>
          <w:sz w:val="24"/>
          <w:szCs w:val="24"/>
          <w:lang w:eastAsia="hi-IN" w:bidi="hi-IN"/>
        </w:rPr>
        <w:t xml:space="preserve"> </w:t>
      </w:r>
      <w:r w:rsidR="0075592A">
        <w:rPr>
          <w:rFonts w:ascii="Times New Roman" w:eastAsia="SimSun" w:hAnsi="Times New Roman" w:cs="Mangal"/>
          <w:kern w:val="1"/>
          <w:sz w:val="24"/>
          <w:szCs w:val="24"/>
          <w:lang w:eastAsia="hi-IN" w:bidi="hi-IN"/>
        </w:rPr>
        <w:t>Accepted Article</w:t>
      </w:r>
      <w:r w:rsidR="0075592A" w:rsidRPr="0075592A">
        <w:rPr>
          <w:rFonts w:ascii="Times New Roman" w:eastAsia="SimSun" w:hAnsi="Times New Roman" w:cs="Mangal"/>
          <w:kern w:val="1"/>
          <w:sz w:val="24"/>
          <w:szCs w:val="24"/>
          <w:lang w:eastAsia="hi-IN" w:bidi="hi-IN"/>
        </w:rPr>
        <w:t xml:space="preserve">, </w:t>
      </w:r>
      <w:proofErr w:type="spellStart"/>
      <w:r w:rsidR="0075592A" w:rsidRPr="0075592A">
        <w:rPr>
          <w:rFonts w:ascii="Times New Roman" w:eastAsia="SimSun" w:hAnsi="Times New Roman" w:cs="Mangal"/>
          <w:kern w:val="1"/>
          <w:sz w:val="24"/>
          <w:szCs w:val="24"/>
          <w:lang w:eastAsia="hi-IN" w:bidi="hi-IN"/>
        </w:rPr>
        <w:t>doi</w:t>
      </w:r>
      <w:proofErr w:type="spellEnd"/>
      <w:r w:rsidR="0075592A" w:rsidRPr="0075592A">
        <w:rPr>
          <w:rFonts w:ascii="Times New Roman" w:eastAsia="SimSun" w:hAnsi="Times New Roman" w:cs="Mangal"/>
          <w:kern w:val="1"/>
          <w:sz w:val="24"/>
          <w:szCs w:val="24"/>
          <w:lang w:eastAsia="hi-IN" w:bidi="hi-IN"/>
        </w:rPr>
        <w:t>: 10.1111/lapo.12074</w:t>
      </w:r>
      <w:r w:rsidR="0075592A">
        <w:rPr>
          <w:rFonts w:ascii="Times New Roman" w:eastAsia="SimSun" w:hAnsi="Times New Roman" w:cs="Mangal"/>
          <w:kern w:val="1"/>
          <w:sz w:val="24"/>
          <w:szCs w:val="24"/>
          <w:lang w:eastAsia="hi-IN" w:bidi="hi-IN"/>
        </w:rPr>
        <w:t xml:space="preserve">. </w:t>
      </w:r>
      <w:r w:rsidR="008C3C73" w:rsidRPr="0075592A">
        <w:rPr>
          <w:rFonts w:ascii="Times New Roman" w:eastAsia="SimSun" w:hAnsi="Times New Roman" w:cs="Mangal"/>
          <w:kern w:val="1"/>
          <w:sz w:val="24"/>
          <w:szCs w:val="24"/>
          <w:lang w:eastAsia="hi-IN" w:bidi="hi-IN"/>
        </w:rPr>
        <w:t xml:space="preserve"> </w:t>
      </w:r>
    </w:p>
    <w:p w14:paraId="16699FB5" w14:textId="77777777" w:rsidR="00B11FEA" w:rsidRDefault="00B11FEA"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proofErr w:type="spellStart"/>
      <w:r w:rsidRPr="00B11FEA">
        <w:rPr>
          <w:rFonts w:ascii="Times New Roman" w:eastAsia="SimSun" w:hAnsi="Times New Roman" w:cs="Mangal"/>
          <w:kern w:val="1"/>
          <w:sz w:val="24"/>
          <w:szCs w:val="24"/>
          <w:lang w:eastAsia="hi-IN" w:bidi="hi-IN"/>
        </w:rPr>
        <w:t>Finnemore</w:t>
      </w:r>
      <w:proofErr w:type="spellEnd"/>
      <w:r w:rsidR="00436E9E">
        <w:rPr>
          <w:rFonts w:ascii="Times New Roman" w:eastAsia="SimSun" w:hAnsi="Times New Roman" w:cs="Mangal"/>
          <w:kern w:val="1"/>
          <w:sz w:val="24"/>
          <w:szCs w:val="24"/>
          <w:lang w:eastAsia="hi-IN" w:bidi="hi-IN"/>
        </w:rPr>
        <w:t>, Martha</w:t>
      </w:r>
      <w:r w:rsidRPr="00B11FEA">
        <w:rPr>
          <w:rFonts w:ascii="Times New Roman" w:eastAsia="SimSun" w:hAnsi="Times New Roman" w:cs="Mangal"/>
          <w:kern w:val="1"/>
          <w:sz w:val="24"/>
          <w:szCs w:val="24"/>
          <w:lang w:eastAsia="hi-IN" w:bidi="hi-IN"/>
        </w:rPr>
        <w:t xml:space="preserve">. 1993. </w:t>
      </w:r>
      <w:r>
        <w:rPr>
          <w:rFonts w:ascii="Times New Roman" w:eastAsia="SimSun" w:hAnsi="Times New Roman" w:cs="Mangal"/>
          <w:kern w:val="1"/>
          <w:sz w:val="24"/>
          <w:szCs w:val="24"/>
          <w:lang w:eastAsia="hi-IN" w:bidi="hi-IN"/>
        </w:rPr>
        <w:t>“</w:t>
      </w:r>
      <w:r w:rsidRPr="00B11FEA">
        <w:rPr>
          <w:rFonts w:ascii="Times New Roman" w:eastAsia="SimSun" w:hAnsi="Times New Roman" w:cs="Mangal"/>
          <w:kern w:val="1"/>
          <w:sz w:val="24"/>
          <w:szCs w:val="24"/>
          <w:lang w:eastAsia="hi-IN" w:bidi="hi-IN"/>
        </w:rPr>
        <w:t>International Organizations as Teachers of Norms: The United Nations Educational, Scientific and Cultural Organization and Science Policy.</w:t>
      </w:r>
      <w:r>
        <w:rPr>
          <w:rFonts w:ascii="Times New Roman" w:eastAsia="SimSun" w:hAnsi="Times New Roman" w:cs="Mangal"/>
          <w:kern w:val="1"/>
          <w:sz w:val="24"/>
          <w:szCs w:val="24"/>
          <w:lang w:eastAsia="hi-IN" w:bidi="hi-IN"/>
        </w:rPr>
        <w:t>”</w:t>
      </w:r>
      <w:r w:rsidRPr="00B11FEA">
        <w:rPr>
          <w:rFonts w:ascii="Times New Roman" w:eastAsia="SimSun" w:hAnsi="Times New Roman" w:cs="Mangal"/>
          <w:kern w:val="1"/>
          <w:sz w:val="24"/>
          <w:szCs w:val="24"/>
          <w:lang w:eastAsia="hi-IN" w:bidi="hi-IN"/>
        </w:rPr>
        <w:t xml:space="preserve"> </w:t>
      </w:r>
      <w:r w:rsidRPr="00B11FEA">
        <w:rPr>
          <w:rFonts w:ascii="Times New Roman" w:eastAsia="SimSun" w:hAnsi="Times New Roman" w:cs="Mangal"/>
          <w:i/>
          <w:kern w:val="1"/>
          <w:sz w:val="24"/>
          <w:szCs w:val="24"/>
          <w:lang w:eastAsia="hi-IN" w:bidi="hi-IN"/>
        </w:rPr>
        <w:t xml:space="preserve">International Organization </w:t>
      </w:r>
      <w:r>
        <w:rPr>
          <w:rFonts w:ascii="Times New Roman" w:eastAsia="SimSun" w:hAnsi="Times New Roman" w:cs="Mangal"/>
          <w:kern w:val="1"/>
          <w:sz w:val="24"/>
          <w:szCs w:val="24"/>
          <w:lang w:eastAsia="hi-IN" w:bidi="hi-IN"/>
        </w:rPr>
        <w:t>47(4): 565-</w:t>
      </w:r>
      <w:r w:rsidRPr="00B11FEA">
        <w:rPr>
          <w:rFonts w:ascii="Times New Roman" w:eastAsia="SimSun" w:hAnsi="Times New Roman" w:cs="Mangal"/>
          <w:kern w:val="1"/>
          <w:sz w:val="24"/>
          <w:szCs w:val="24"/>
          <w:lang w:eastAsia="hi-IN" w:bidi="hi-IN"/>
        </w:rPr>
        <w:t>97.</w:t>
      </w:r>
    </w:p>
    <w:p w14:paraId="6D208F55" w14:textId="77777777" w:rsidR="009D31AF" w:rsidRDefault="00436E9E"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w:t>
      </w:r>
      <w:r w:rsidR="009D31AF" w:rsidRPr="009D31AF">
        <w:rPr>
          <w:rFonts w:ascii="Times New Roman" w:eastAsia="SimSun" w:hAnsi="Times New Roman" w:cs="Mangal"/>
          <w:kern w:val="1"/>
          <w:sz w:val="24"/>
          <w:szCs w:val="24"/>
          <w:lang w:eastAsia="hi-IN" w:bidi="hi-IN"/>
        </w:rPr>
        <w:t xml:space="preserve">. 1996. </w:t>
      </w:r>
      <w:r w:rsidR="009D31AF" w:rsidRPr="009D31AF">
        <w:rPr>
          <w:rFonts w:ascii="Times New Roman" w:eastAsia="SimSun" w:hAnsi="Times New Roman" w:cs="Mangal"/>
          <w:i/>
          <w:kern w:val="1"/>
          <w:sz w:val="24"/>
          <w:szCs w:val="24"/>
          <w:lang w:eastAsia="hi-IN" w:bidi="hi-IN"/>
        </w:rPr>
        <w:t>National Interests in International Society</w:t>
      </w:r>
      <w:r w:rsidR="009D31AF" w:rsidRPr="009D31AF">
        <w:rPr>
          <w:rFonts w:ascii="Times New Roman" w:eastAsia="SimSun" w:hAnsi="Times New Roman" w:cs="Mangal"/>
          <w:kern w:val="1"/>
          <w:sz w:val="24"/>
          <w:szCs w:val="24"/>
          <w:lang w:eastAsia="hi-IN" w:bidi="hi-IN"/>
        </w:rPr>
        <w:t>. Ithaca, N.Y: Cornell University Press</w:t>
      </w:r>
    </w:p>
    <w:p w14:paraId="1527B302" w14:textId="77777777" w:rsidR="00FA7519" w:rsidRDefault="00FA7519"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FA7519">
        <w:rPr>
          <w:rFonts w:ascii="Times New Roman" w:eastAsia="SimSun" w:hAnsi="Times New Roman" w:cs="Mangal"/>
          <w:kern w:val="1"/>
          <w:sz w:val="24"/>
          <w:szCs w:val="24"/>
          <w:lang w:eastAsia="hi-IN" w:bidi="hi-IN"/>
        </w:rPr>
        <w:t xml:space="preserve">Kearney, Joseph D., and Thomas W. Merrill. 2000. “The Influence of Amicus Curiae Briefs on the Supreme Court.” </w:t>
      </w:r>
      <w:r w:rsidRPr="00FA7519">
        <w:rPr>
          <w:rFonts w:ascii="Times New Roman" w:eastAsia="SimSun" w:hAnsi="Times New Roman" w:cs="Mangal"/>
          <w:i/>
          <w:kern w:val="1"/>
          <w:sz w:val="24"/>
          <w:szCs w:val="24"/>
          <w:lang w:eastAsia="hi-IN" w:bidi="hi-IN"/>
        </w:rPr>
        <w:t xml:space="preserve">University of Pennsylvania Law Review </w:t>
      </w:r>
      <w:r w:rsidRPr="00FA7519">
        <w:rPr>
          <w:rFonts w:ascii="Times New Roman" w:eastAsia="SimSun" w:hAnsi="Times New Roman" w:cs="Mangal"/>
          <w:kern w:val="1"/>
          <w:sz w:val="24"/>
          <w:szCs w:val="24"/>
          <w:lang w:eastAsia="hi-IN" w:bidi="hi-IN"/>
        </w:rPr>
        <w:t>148(3): 743-855.</w:t>
      </w:r>
    </w:p>
    <w:p w14:paraId="2F0B0269" w14:textId="77777777" w:rsidR="009D31AF" w:rsidRDefault="009D31AF"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9D31AF">
        <w:rPr>
          <w:rFonts w:ascii="Times New Roman" w:eastAsia="SimSun" w:hAnsi="Times New Roman" w:cs="Mangal"/>
          <w:kern w:val="1"/>
          <w:sz w:val="24"/>
          <w:szCs w:val="24"/>
          <w:lang w:eastAsia="hi-IN" w:bidi="hi-IN"/>
        </w:rPr>
        <w:t>Keck</w:t>
      </w:r>
      <w:r w:rsidR="00436E9E">
        <w:rPr>
          <w:rFonts w:ascii="Times New Roman" w:eastAsia="SimSun" w:hAnsi="Times New Roman" w:cs="Mangal"/>
          <w:kern w:val="1"/>
          <w:sz w:val="24"/>
          <w:szCs w:val="24"/>
          <w:lang w:eastAsia="hi-IN" w:bidi="hi-IN"/>
        </w:rPr>
        <w:t>, Margaret E.,</w:t>
      </w:r>
      <w:r w:rsidRPr="009D31AF">
        <w:rPr>
          <w:rFonts w:ascii="Times New Roman" w:eastAsia="SimSun" w:hAnsi="Times New Roman" w:cs="Mangal"/>
          <w:kern w:val="1"/>
          <w:sz w:val="24"/>
          <w:szCs w:val="24"/>
          <w:lang w:eastAsia="hi-IN" w:bidi="hi-IN"/>
        </w:rPr>
        <w:t xml:space="preserve"> and Kathryn </w:t>
      </w:r>
      <w:proofErr w:type="spellStart"/>
      <w:r w:rsidRPr="009D31AF">
        <w:rPr>
          <w:rFonts w:ascii="Times New Roman" w:eastAsia="SimSun" w:hAnsi="Times New Roman" w:cs="Mangal"/>
          <w:kern w:val="1"/>
          <w:sz w:val="24"/>
          <w:szCs w:val="24"/>
          <w:lang w:eastAsia="hi-IN" w:bidi="hi-IN"/>
        </w:rPr>
        <w:t>Sikkink</w:t>
      </w:r>
      <w:proofErr w:type="spellEnd"/>
      <w:r w:rsidRPr="009D31AF">
        <w:rPr>
          <w:rFonts w:ascii="Times New Roman" w:eastAsia="SimSun" w:hAnsi="Times New Roman" w:cs="Mangal"/>
          <w:kern w:val="1"/>
          <w:sz w:val="24"/>
          <w:szCs w:val="24"/>
          <w:lang w:eastAsia="hi-IN" w:bidi="hi-IN"/>
        </w:rPr>
        <w:t xml:space="preserve">. 1998. </w:t>
      </w:r>
      <w:r w:rsidRPr="009D31AF">
        <w:rPr>
          <w:rFonts w:ascii="Times New Roman" w:eastAsia="SimSun" w:hAnsi="Times New Roman" w:cs="Mangal"/>
          <w:i/>
          <w:kern w:val="1"/>
          <w:sz w:val="24"/>
          <w:szCs w:val="24"/>
          <w:lang w:eastAsia="hi-IN" w:bidi="hi-IN"/>
        </w:rPr>
        <w:t xml:space="preserve">Activists Beyond Borders: Advocacy Networks in International Politics. </w:t>
      </w:r>
      <w:r w:rsidRPr="009D31AF">
        <w:rPr>
          <w:rFonts w:ascii="Times New Roman" w:eastAsia="SimSun" w:hAnsi="Times New Roman" w:cs="Mangal"/>
          <w:kern w:val="1"/>
          <w:sz w:val="24"/>
          <w:szCs w:val="24"/>
          <w:lang w:eastAsia="hi-IN" w:bidi="hi-IN"/>
        </w:rPr>
        <w:t>Ithaca, N.Y: Cornell University Pres</w:t>
      </w:r>
      <w:r w:rsidR="00BD0188">
        <w:rPr>
          <w:rFonts w:ascii="Times New Roman" w:eastAsia="SimSun" w:hAnsi="Times New Roman" w:cs="Mangal"/>
          <w:kern w:val="1"/>
          <w:sz w:val="24"/>
          <w:szCs w:val="24"/>
          <w:lang w:eastAsia="hi-IN" w:bidi="hi-IN"/>
        </w:rPr>
        <w:t>s.</w:t>
      </w:r>
    </w:p>
    <w:p w14:paraId="54682FD7" w14:textId="77777777" w:rsidR="00BD0188" w:rsidRDefault="00436E9E"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proofErr w:type="spellStart"/>
      <w:r>
        <w:rPr>
          <w:rFonts w:ascii="Times New Roman" w:eastAsia="SimSun" w:hAnsi="Times New Roman" w:cs="Mangal"/>
          <w:kern w:val="1"/>
          <w:sz w:val="24"/>
          <w:szCs w:val="24"/>
          <w:lang w:eastAsia="hi-IN" w:bidi="hi-IN"/>
        </w:rPr>
        <w:t>Kersch</w:t>
      </w:r>
      <w:proofErr w:type="spellEnd"/>
      <w:r>
        <w:rPr>
          <w:rFonts w:ascii="Times New Roman" w:eastAsia="SimSun" w:hAnsi="Times New Roman" w:cs="Mangal"/>
          <w:kern w:val="1"/>
          <w:sz w:val="24"/>
          <w:szCs w:val="24"/>
          <w:lang w:eastAsia="hi-IN" w:bidi="hi-IN"/>
        </w:rPr>
        <w:t>, Ken I.</w:t>
      </w:r>
      <w:r w:rsidR="00BD0188">
        <w:rPr>
          <w:rFonts w:ascii="Times New Roman" w:eastAsia="SimSun" w:hAnsi="Times New Roman" w:cs="Mangal"/>
          <w:kern w:val="1"/>
          <w:sz w:val="24"/>
          <w:szCs w:val="24"/>
          <w:lang w:eastAsia="hi-IN" w:bidi="hi-IN"/>
        </w:rPr>
        <w:t xml:space="preserve"> 2005. “The New Legal Transnationalism, the Globalized Judiciary, and the Rule of Law.” </w:t>
      </w:r>
      <w:r w:rsidR="00BD0188">
        <w:rPr>
          <w:rFonts w:ascii="Times New Roman" w:eastAsia="SimSun" w:hAnsi="Times New Roman" w:cs="Mangal"/>
          <w:i/>
          <w:kern w:val="1"/>
          <w:sz w:val="24"/>
          <w:szCs w:val="24"/>
          <w:lang w:eastAsia="hi-IN" w:bidi="hi-IN"/>
        </w:rPr>
        <w:t xml:space="preserve">Washington University Global Studies Law Review </w:t>
      </w:r>
      <w:r w:rsidR="00BD0188">
        <w:rPr>
          <w:rFonts w:ascii="Times New Roman" w:eastAsia="SimSun" w:hAnsi="Times New Roman" w:cs="Mangal"/>
          <w:kern w:val="1"/>
          <w:sz w:val="24"/>
          <w:szCs w:val="24"/>
          <w:lang w:eastAsia="hi-IN" w:bidi="hi-IN"/>
        </w:rPr>
        <w:t>4: 345-87.</w:t>
      </w:r>
    </w:p>
    <w:p w14:paraId="3C001FB3" w14:textId="77777777" w:rsidR="002A74A5" w:rsidRPr="002A74A5" w:rsidRDefault="002A74A5"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Margolis, Ellis. 2000. “Beyond Brandeis: Exploring the Uses of Non-Legal Materials in Appellate Briefs.” </w:t>
      </w:r>
      <w:r>
        <w:rPr>
          <w:rFonts w:ascii="Times New Roman" w:eastAsia="SimSun" w:hAnsi="Times New Roman" w:cs="Mangal"/>
          <w:i/>
          <w:kern w:val="1"/>
          <w:sz w:val="24"/>
          <w:szCs w:val="24"/>
          <w:lang w:eastAsia="hi-IN" w:bidi="hi-IN"/>
        </w:rPr>
        <w:t xml:space="preserve">University of San Francisco Law Review </w:t>
      </w:r>
      <w:r>
        <w:rPr>
          <w:rFonts w:ascii="Times New Roman" w:eastAsia="SimSun" w:hAnsi="Times New Roman" w:cs="Mangal"/>
          <w:kern w:val="1"/>
          <w:sz w:val="24"/>
          <w:szCs w:val="24"/>
          <w:lang w:eastAsia="hi-IN" w:bidi="hi-IN"/>
        </w:rPr>
        <w:t>34(2): 197-236.</w:t>
      </w:r>
    </w:p>
    <w:p w14:paraId="6BCCF2A3" w14:textId="77777777" w:rsidR="00FD7C0B" w:rsidRPr="00FD7C0B" w:rsidRDefault="00FD7C0B"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McGuire, Kevin T. 1993. </w:t>
      </w:r>
      <w:r>
        <w:rPr>
          <w:rFonts w:ascii="Times New Roman" w:eastAsia="SimSun" w:hAnsi="Times New Roman" w:cs="Mangal"/>
          <w:i/>
          <w:kern w:val="1"/>
          <w:sz w:val="24"/>
          <w:szCs w:val="24"/>
          <w:lang w:eastAsia="hi-IN" w:bidi="hi-IN"/>
        </w:rPr>
        <w:t xml:space="preserve">The Supreme Court Bar: Legal Elites in the Washington Community. </w:t>
      </w:r>
      <w:r>
        <w:rPr>
          <w:rFonts w:ascii="Times New Roman" w:eastAsia="SimSun" w:hAnsi="Times New Roman" w:cs="Mangal"/>
          <w:kern w:val="1"/>
          <w:sz w:val="24"/>
          <w:szCs w:val="24"/>
          <w:lang w:eastAsia="hi-IN" w:bidi="hi-IN"/>
        </w:rPr>
        <w:t>Charlottesville: University Press of Virginia.</w:t>
      </w:r>
    </w:p>
    <w:p w14:paraId="30854489" w14:textId="77777777" w:rsidR="00FE26D9" w:rsidRDefault="00FE26D9" w:rsidP="00FE26D9">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FE26D9">
        <w:rPr>
          <w:rFonts w:ascii="Times New Roman" w:eastAsia="SimSun" w:hAnsi="Times New Roman" w:cs="Mangal"/>
          <w:kern w:val="1"/>
          <w:sz w:val="24"/>
          <w:szCs w:val="24"/>
          <w:lang w:eastAsia="hi-IN" w:bidi="hi-IN"/>
        </w:rPr>
        <w:t xml:space="preserve">O'Brien, David M. 2006. “More Smoke than Fire: The Rehnquist Court's Use of Comparative Judicial Opinions and Law in the Construction of Constitutional Rights.” </w:t>
      </w:r>
      <w:r w:rsidRPr="00FE26D9">
        <w:rPr>
          <w:rFonts w:ascii="Times New Roman" w:eastAsia="SimSun" w:hAnsi="Times New Roman" w:cs="Mangal"/>
          <w:i/>
          <w:kern w:val="1"/>
          <w:sz w:val="24"/>
          <w:szCs w:val="24"/>
          <w:lang w:eastAsia="hi-IN" w:bidi="hi-IN"/>
        </w:rPr>
        <w:t xml:space="preserve">Journal of Law and Politics </w:t>
      </w:r>
      <w:r w:rsidRPr="00FE26D9">
        <w:rPr>
          <w:rFonts w:ascii="Times New Roman" w:eastAsia="SimSun" w:hAnsi="Times New Roman" w:cs="Mangal"/>
          <w:kern w:val="1"/>
          <w:sz w:val="24"/>
          <w:szCs w:val="24"/>
          <w:lang w:eastAsia="hi-IN" w:bidi="hi-IN"/>
        </w:rPr>
        <w:t>22: 83-111.</w:t>
      </w:r>
    </w:p>
    <w:p w14:paraId="03A31636" w14:textId="77777777" w:rsidR="00B920B3" w:rsidRPr="00B920B3" w:rsidRDefault="00B920B3" w:rsidP="00FE26D9">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Owens, Ryan J., and Lee Epstein. 2005. “Amici Curiae During the Rehnquist Years.” </w:t>
      </w:r>
      <w:r>
        <w:rPr>
          <w:rFonts w:ascii="Times New Roman" w:eastAsia="SimSun" w:hAnsi="Times New Roman" w:cs="Mangal"/>
          <w:i/>
          <w:kern w:val="1"/>
          <w:sz w:val="24"/>
          <w:szCs w:val="24"/>
          <w:lang w:eastAsia="hi-IN" w:bidi="hi-IN"/>
        </w:rPr>
        <w:t xml:space="preserve">Judicature </w:t>
      </w:r>
      <w:r>
        <w:rPr>
          <w:rFonts w:ascii="Times New Roman" w:eastAsia="SimSun" w:hAnsi="Times New Roman" w:cs="Mangal"/>
          <w:kern w:val="1"/>
          <w:sz w:val="24"/>
          <w:szCs w:val="24"/>
          <w:lang w:eastAsia="hi-IN" w:bidi="hi-IN"/>
        </w:rPr>
        <w:t>89: 127-32.</w:t>
      </w:r>
    </w:p>
    <w:p w14:paraId="2297D250" w14:textId="77777777" w:rsidR="009D31AF" w:rsidRDefault="009D31AF" w:rsidP="00FE26D9">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9D31AF">
        <w:rPr>
          <w:rFonts w:ascii="Times New Roman" w:eastAsia="SimSun" w:hAnsi="Times New Roman" w:cs="Mangal"/>
          <w:kern w:val="1"/>
          <w:sz w:val="24"/>
          <w:szCs w:val="24"/>
          <w:lang w:eastAsia="hi-IN" w:bidi="hi-IN"/>
        </w:rPr>
        <w:t xml:space="preserve">Thomas </w:t>
      </w:r>
      <w:proofErr w:type="spellStart"/>
      <w:r w:rsidRPr="009D31AF">
        <w:rPr>
          <w:rFonts w:ascii="Times New Roman" w:eastAsia="SimSun" w:hAnsi="Times New Roman" w:cs="Mangal"/>
          <w:kern w:val="1"/>
          <w:sz w:val="24"/>
          <w:szCs w:val="24"/>
          <w:lang w:eastAsia="hi-IN" w:bidi="hi-IN"/>
        </w:rPr>
        <w:t>Risse</w:t>
      </w:r>
      <w:proofErr w:type="spellEnd"/>
      <w:r w:rsidRPr="009D31AF">
        <w:rPr>
          <w:rFonts w:ascii="Times New Roman" w:eastAsia="SimSun" w:hAnsi="Times New Roman" w:cs="Mangal"/>
          <w:kern w:val="1"/>
          <w:sz w:val="24"/>
          <w:szCs w:val="24"/>
          <w:lang w:eastAsia="hi-IN" w:bidi="hi-IN"/>
        </w:rPr>
        <w:t xml:space="preserve">-Kappen, Steve C. </w:t>
      </w:r>
      <w:proofErr w:type="spellStart"/>
      <w:r w:rsidRPr="009D31AF">
        <w:rPr>
          <w:rFonts w:ascii="Times New Roman" w:eastAsia="SimSun" w:hAnsi="Times New Roman" w:cs="Mangal"/>
          <w:kern w:val="1"/>
          <w:sz w:val="24"/>
          <w:szCs w:val="24"/>
          <w:lang w:eastAsia="hi-IN" w:bidi="hi-IN"/>
        </w:rPr>
        <w:t>Ropp</w:t>
      </w:r>
      <w:proofErr w:type="spellEnd"/>
      <w:r w:rsidRPr="009D31AF">
        <w:rPr>
          <w:rFonts w:ascii="Times New Roman" w:eastAsia="SimSun" w:hAnsi="Times New Roman" w:cs="Mangal"/>
          <w:kern w:val="1"/>
          <w:sz w:val="24"/>
          <w:szCs w:val="24"/>
          <w:lang w:eastAsia="hi-IN" w:bidi="hi-IN"/>
        </w:rPr>
        <w:t xml:space="preserve"> and Kathryn </w:t>
      </w:r>
      <w:proofErr w:type="spellStart"/>
      <w:r w:rsidRPr="009D31AF">
        <w:rPr>
          <w:rFonts w:ascii="Times New Roman" w:eastAsia="SimSun" w:hAnsi="Times New Roman" w:cs="Mangal"/>
          <w:kern w:val="1"/>
          <w:sz w:val="24"/>
          <w:szCs w:val="24"/>
          <w:lang w:eastAsia="hi-IN" w:bidi="hi-IN"/>
        </w:rPr>
        <w:t>Sikkink</w:t>
      </w:r>
      <w:proofErr w:type="spellEnd"/>
      <w:r w:rsidRPr="009D31AF">
        <w:rPr>
          <w:rFonts w:ascii="Times New Roman" w:eastAsia="SimSun" w:hAnsi="Times New Roman" w:cs="Mangal"/>
          <w:kern w:val="1"/>
          <w:sz w:val="24"/>
          <w:szCs w:val="24"/>
          <w:lang w:eastAsia="hi-IN" w:bidi="hi-IN"/>
        </w:rPr>
        <w:t xml:space="preserve">. 1999. </w:t>
      </w:r>
      <w:r w:rsidRPr="009D31AF">
        <w:rPr>
          <w:rFonts w:ascii="Times New Roman" w:eastAsia="SimSun" w:hAnsi="Times New Roman" w:cs="Mangal"/>
          <w:i/>
          <w:kern w:val="1"/>
          <w:sz w:val="24"/>
          <w:szCs w:val="24"/>
          <w:lang w:eastAsia="hi-IN" w:bidi="hi-IN"/>
        </w:rPr>
        <w:t xml:space="preserve">The Power of Human Rights: International Norms and Domestic Change. </w:t>
      </w:r>
      <w:r w:rsidRPr="009D31AF">
        <w:rPr>
          <w:rFonts w:ascii="Times New Roman" w:eastAsia="SimSun" w:hAnsi="Times New Roman" w:cs="Mangal"/>
          <w:kern w:val="1"/>
          <w:sz w:val="24"/>
          <w:szCs w:val="24"/>
          <w:lang w:eastAsia="hi-IN" w:bidi="hi-IN"/>
        </w:rPr>
        <w:t>Cambridge, U.K; New York: Cambridge University Press</w:t>
      </w:r>
    </w:p>
    <w:p w14:paraId="356BFF7C" w14:textId="77777777" w:rsidR="00A7556F" w:rsidRDefault="00A7556F"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A7556F">
        <w:rPr>
          <w:rFonts w:ascii="Times New Roman" w:eastAsia="SimSun" w:hAnsi="Times New Roman" w:cs="Mangal"/>
          <w:kern w:val="1"/>
          <w:sz w:val="24"/>
          <w:szCs w:val="24"/>
          <w:lang w:eastAsia="hi-IN" w:bidi="hi-IN"/>
        </w:rPr>
        <w:t xml:space="preserve">Slaughter, Anne-Marie. 1994. “A Typology of </w:t>
      </w:r>
      <w:proofErr w:type="spellStart"/>
      <w:r w:rsidRPr="00A7556F">
        <w:rPr>
          <w:rFonts w:ascii="Times New Roman" w:eastAsia="SimSun" w:hAnsi="Times New Roman" w:cs="Mangal"/>
          <w:kern w:val="1"/>
          <w:sz w:val="24"/>
          <w:szCs w:val="24"/>
          <w:lang w:eastAsia="hi-IN" w:bidi="hi-IN"/>
        </w:rPr>
        <w:t>Transjudicial</w:t>
      </w:r>
      <w:proofErr w:type="spellEnd"/>
      <w:r w:rsidRPr="00A7556F">
        <w:rPr>
          <w:rFonts w:ascii="Times New Roman" w:eastAsia="SimSun" w:hAnsi="Times New Roman" w:cs="Mangal"/>
          <w:kern w:val="1"/>
          <w:sz w:val="24"/>
          <w:szCs w:val="24"/>
          <w:lang w:eastAsia="hi-IN" w:bidi="hi-IN"/>
        </w:rPr>
        <w:t xml:space="preserve"> Communication.” </w:t>
      </w:r>
      <w:r w:rsidRPr="00A7556F">
        <w:rPr>
          <w:rFonts w:ascii="Times New Roman" w:eastAsia="SimSun" w:hAnsi="Times New Roman" w:cs="Mangal"/>
          <w:i/>
          <w:kern w:val="1"/>
          <w:sz w:val="24"/>
          <w:szCs w:val="24"/>
          <w:lang w:eastAsia="hi-IN" w:bidi="hi-IN"/>
        </w:rPr>
        <w:t xml:space="preserve">University of Richmond Law Review </w:t>
      </w:r>
      <w:r w:rsidRPr="00A7556F">
        <w:rPr>
          <w:rFonts w:ascii="Times New Roman" w:eastAsia="SimSun" w:hAnsi="Times New Roman" w:cs="Mangal"/>
          <w:kern w:val="1"/>
          <w:sz w:val="24"/>
          <w:szCs w:val="24"/>
          <w:lang w:eastAsia="hi-IN" w:bidi="hi-IN"/>
        </w:rPr>
        <w:t xml:space="preserve">29: 99-138. </w:t>
      </w:r>
    </w:p>
    <w:p w14:paraId="0B350946" w14:textId="77777777" w:rsidR="00A7556F" w:rsidRDefault="00A7556F"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A7556F">
        <w:rPr>
          <w:rFonts w:ascii="Times New Roman" w:eastAsia="SimSun" w:hAnsi="Times New Roman" w:cs="Mangal"/>
          <w:kern w:val="1"/>
          <w:sz w:val="24"/>
          <w:szCs w:val="24"/>
          <w:lang w:eastAsia="hi-IN" w:bidi="hi-IN"/>
        </w:rPr>
        <w:t>———</w:t>
      </w:r>
      <w:r>
        <w:rPr>
          <w:rFonts w:ascii="Times New Roman" w:eastAsia="SimSun" w:hAnsi="Times New Roman" w:cs="Mangal"/>
          <w:kern w:val="1"/>
          <w:sz w:val="24"/>
          <w:szCs w:val="24"/>
          <w:lang w:eastAsia="hi-IN" w:bidi="hi-IN"/>
        </w:rPr>
        <w:t>. 2004</w:t>
      </w:r>
      <w:r w:rsidRPr="00A7556F">
        <w:rPr>
          <w:rFonts w:ascii="Times New Roman" w:eastAsia="SimSun" w:hAnsi="Times New Roman" w:cs="Mangal"/>
          <w:kern w:val="1"/>
          <w:sz w:val="24"/>
          <w:szCs w:val="24"/>
          <w:lang w:eastAsia="hi-IN" w:bidi="hi-IN"/>
        </w:rPr>
        <w:t xml:space="preserve">. </w:t>
      </w:r>
      <w:r w:rsidRPr="00A7556F">
        <w:rPr>
          <w:rFonts w:ascii="Times New Roman" w:eastAsia="SimSun" w:hAnsi="Times New Roman" w:cs="Mangal"/>
          <w:i/>
          <w:kern w:val="1"/>
          <w:sz w:val="24"/>
          <w:szCs w:val="24"/>
          <w:lang w:eastAsia="hi-IN" w:bidi="hi-IN"/>
        </w:rPr>
        <w:t xml:space="preserve">A New World Order. </w:t>
      </w:r>
      <w:r w:rsidRPr="00A7556F">
        <w:rPr>
          <w:rFonts w:ascii="Times New Roman" w:eastAsia="SimSun" w:hAnsi="Times New Roman" w:cs="Mangal"/>
          <w:kern w:val="1"/>
          <w:sz w:val="24"/>
          <w:szCs w:val="24"/>
          <w:lang w:eastAsia="hi-IN" w:bidi="hi-IN"/>
        </w:rPr>
        <w:t>Princeton, NJ: Princeton University Press.</w:t>
      </w:r>
    </w:p>
    <w:p w14:paraId="0CB17203" w14:textId="77777777" w:rsidR="008C31FF" w:rsidRDefault="008C31FF" w:rsidP="008C31F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8C31FF">
        <w:rPr>
          <w:rFonts w:ascii="Times New Roman" w:eastAsia="SimSun" w:hAnsi="Times New Roman" w:cs="Mangal"/>
          <w:kern w:val="1"/>
          <w:sz w:val="24"/>
          <w:szCs w:val="24"/>
          <w:lang w:eastAsia="hi-IN" w:bidi="hi-IN"/>
        </w:rPr>
        <w:t xml:space="preserve">Spaeth, Harold, Lee Epstein, Andrew D. Martin, Jeffrey A. Segal, Theodore J. Ruger, and Sara C. </w:t>
      </w:r>
      <w:proofErr w:type="spellStart"/>
      <w:r w:rsidRPr="008C31FF">
        <w:rPr>
          <w:rFonts w:ascii="Times New Roman" w:eastAsia="SimSun" w:hAnsi="Times New Roman" w:cs="Mangal"/>
          <w:kern w:val="1"/>
          <w:sz w:val="24"/>
          <w:szCs w:val="24"/>
          <w:lang w:eastAsia="hi-IN" w:bidi="hi-IN"/>
        </w:rPr>
        <w:t>Benesh</w:t>
      </w:r>
      <w:proofErr w:type="spellEnd"/>
      <w:r w:rsidRPr="008C31FF">
        <w:rPr>
          <w:rFonts w:ascii="Times New Roman" w:eastAsia="SimSun" w:hAnsi="Times New Roman" w:cs="Mangal"/>
          <w:kern w:val="1"/>
          <w:sz w:val="24"/>
          <w:szCs w:val="24"/>
          <w:lang w:eastAsia="hi-IN" w:bidi="hi-IN"/>
        </w:rPr>
        <w:t>. 2016 Supreme Court Database, Version 2016 Release 01. http://Supremecourtdatabase.org (January 9, 2017)</w:t>
      </w:r>
    </w:p>
    <w:p w14:paraId="0E6F9DAE" w14:textId="2F1E5DB4" w:rsidR="00B920B3" w:rsidRDefault="00B920B3"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Spriggs, James F., and Paul J. </w:t>
      </w:r>
      <w:proofErr w:type="spellStart"/>
      <w:r>
        <w:rPr>
          <w:rFonts w:ascii="Times New Roman" w:eastAsia="SimSun" w:hAnsi="Times New Roman" w:cs="Mangal"/>
          <w:kern w:val="1"/>
          <w:sz w:val="24"/>
          <w:szCs w:val="24"/>
          <w:lang w:eastAsia="hi-IN" w:bidi="hi-IN"/>
        </w:rPr>
        <w:t>Wahlbeck</w:t>
      </w:r>
      <w:proofErr w:type="spellEnd"/>
      <w:r>
        <w:rPr>
          <w:rFonts w:ascii="Times New Roman" w:eastAsia="SimSun" w:hAnsi="Times New Roman" w:cs="Mangal"/>
          <w:kern w:val="1"/>
          <w:sz w:val="24"/>
          <w:szCs w:val="24"/>
          <w:lang w:eastAsia="hi-IN" w:bidi="hi-IN"/>
        </w:rPr>
        <w:t xml:space="preserve">. 1997. “Amicus Curiae and the Role of Information at the Supreme Court.” </w:t>
      </w:r>
      <w:r>
        <w:rPr>
          <w:rFonts w:ascii="Times New Roman" w:eastAsia="SimSun" w:hAnsi="Times New Roman" w:cs="Mangal"/>
          <w:i/>
          <w:kern w:val="1"/>
          <w:sz w:val="24"/>
          <w:szCs w:val="24"/>
          <w:lang w:eastAsia="hi-IN" w:bidi="hi-IN"/>
        </w:rPr>
        <w:t xml:space="preserve">Political Research Quarterly </w:t>
      </w:r>
      <w:r>
        <w:rPr>
          <w:rFonts w:ascii="Times New Roman" w:eastAsia="SimSun" w:hAnsi="Times New Roman" w:cs="Mangal"/>
          <w:kern w:val="1"/>
          <w:sz w:val="24"/>
          <w:szCs w:val="24"/>
          <w:lang w:eastAsia="hi-IN" w:bidi="hi-IN"/>
        </w:rPr>
        <w:t>50(2): 365-86.</w:t>
      </w:r>
    </w:p>
    <w:p w14:paraId="3AFD8A9F" w14:textId="0120CEC2" w:rsidR="00C07029" w:rsidRDefault="00C07029"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United Nations General Assembly. 1989. Convention on the Rights of the Child. </w:t>
      </w:r>
      <w:r w:rsidRPr="00C07029">
        <w:rPr>
          <w:rFonts w:ascii="Times New Roman" w:eastAsia="SimSun" w:hAnsi="Times New Roman" w:cs="Mangal"/>
          <w:kern w:val="1"/>
          <w:sz w:val="24"/>
          <w:szCs w:val="24"/>
          <w:lang w:eastAsia="hi-IN" w:bidi="hi-IN"/>
        </w:rPr>
        <w:t>United Nations, Treaty Series, vol. 1577, p</w:t>
      </w:r>
      <w:r>
        <w:rPr>
          <w:rFonts w:ascii="Times New Roman" w:eastAsia="SimSun" w:hAnsi="Times New Roman" w:cs="Mangal"/>
          <w:kern w:val="1"/>
          <w:sz w:val="24"/>
          <w:szCs w:val="24"/>
          <w:lang w:eastAsia="hi-IN" w:bidi="hi-IN"/>
        </w:rPr>
        <w:t>t</w:t>
      </w:r>
      <w:r w:rsidRPr="00C07029">
        <w:rPr>
          <w:rFonts w:ascii="Times New Roman" w:eastAsia="SimSun" w:hAnsi="Times New Roman" w:cs="Mangal"/>
          <w:kern w:val="1"/>
          <w:sz w:val="24"/>
          <w:szCs w:val="24"/>
          <w:lang w:eastAsia="hi-IN" w:bidi="hi-IN"/>
        </w:rPr>
        <w:t>. 3</w:t>
      </w:r>
      <w:r>
        <w:rPr>
          <w:rFonts w:ascii="Times New Roman" w:eastAsia="SimSun" w:hAnsi="Times New Roman" w:cs="Mangal"/>
          <w:kern w:val="1"/>
          <w:sz w:val="24"/>
          <w:szCs w:val="24"/>
          <w:lang w:eastAsia="hi-IN" w:bidi="hi-IN"/>
        </w:rPr>
        <w:t xml:space="preserve">. </w:t>
      </w:r>
    </w:p>
    <w:p w14:paraId="6B00E5B7" w14:textId="77777777" w:rsidR="00E87AAF" w:rsidRPr="00E87AAF" w:rsidRDefault="00E87AAF"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proofErr w:type="spellStart"/>
      <w:r>
        <w:rPr>
          <w:rFonts w:ascii="Times New Roman" w:eastAsia="SimSun" w:hAnsi="Times New Roman" w:cs="Mangal"/>
          <w:kern w:val="1"/>
          <w:sz w:val="24"/>
          <w:szCs w:val="24"/>
          <w:lang w:eastAsia="hi-IN" w:bidi="hi-IN"/>
        </w:rPr>
        <w:lastRenderedPageBreak/>
        <w:t>Wahlbeck</w:t>
      </w:r>
      <w:proofErr w:type="spellEnd"/>
      <w:r>
        <w:rPr>
          <w:rFonts w:ascii="Times New Roman" w:eastAsia="SimSun" w:hAnsi="Times New Roman" w:cs="Mangal"/>
          <w:kern w:val="1"/>
          <w:sz w:val="24"/>
          <w:szCs w:val="24"/>
          <w:lang w:eastAsia="hi-IN" w:bidi="hi-IN"/>
        </w:rPr>
        <w:t xml:space="preserve">, Paul J. 1997. “The Life of the Law: Judicial Politics and Legal Change.” </w:t>
      </w:r>
      <w:r>
        <w:rPr>
          <w:rFonts w:ascii="Times New Roman" w:eastAsia="SimSun" w:hAnsi="Times New Roman" w:cs="Mangal"/>
          <w:i/>
          <w:kern w:val="1"/>
          <w:sz w:val="24"/>
          <w:szCs w:val="24"/>
          <w:lang w:eastAsia="hi-IN" w:bidi="hi-IN"/>
        </w:rPr>
        <w:t xml:space="preserve">Journal of Politics </w:t>
      </w:r>
      <w:r>
        <w:rPr>
          <w:rFonts w:ascii="Times New Roman" w:eastAsia="SimSun" w:hAnsi="Times New Roman" w:cs="Mangal"/>
          <w:kern w:val="1"/>
          <w:sz w:val="24"/>
          <w:szCs w:val="24"/>
          <w:lang w:eastAsia="hi-IN" w:bidi="hi-IN"/>
        </w:rPr>
        <w:t>59(3): 778-802.</w:t>
      </w:r>
    </w:p>
    <w:p w14:paraId="1C797E97" w14:textId="77777777" w:rsidR="00A7556F" w:rsidRDefault="00A7556F"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r w:rsidRPr="00A7556F">
        <w:rPr>
          <w:rFonts w:ascii="Times New Roman" w:eastAsia="SimSun" w:hAnsi="Times New Roman" w:cs="Mangal"/>
          <w:kern w:val="1"/>
          <w:sz w:val="24"/>
          <w:szCs w:val="24"/>
          <w:lang w:eastAsia="hi-IN" w:bidi="hi-IN"/>
        </w:rPr>
        <w:t>Waters, Melissa A.</w:t>
      </w:r>
      <w:r>
        <w:rPr>
          <w:rFonts w:ascii="Times New Roman" w:eastAsia="SimSun" w:hAnsi="Times New Roman" w:cs="Mangal"/>
          <w:kern w:val="1"/>
          <w:sz w:val="24"/>
          <w:szCs w:val="24"/>
          <w:lang w:eastAsia="hi-IN" w:bidi="hi-IN"/>
        </w:rPr>
        <w:t xml:space="preserve"> 2007</w:t>
      </w:r>
      <w:r w:rsidRPr="00A7556F">
        <w:rPr>
          <w:rFonts w:ascii="Times New Roman" w:eastAsia="SimSun" w:hAnsi="Times New Roman" w:cs="Mangal"/>
          <w:kern w:val="1"/>
          <w:sz w:val="24"/>
          <w:szCs w:val="24"/>
          <w:lang w:eastAsia="hi-IN" w:bidi="hi-IN"/>
        </w:rPr>
        <w:t xml:space="preserve">. “Treaty Dialogue in Sanchez-Llamas: Is Chief Justice Roberts a </w:t>
      </w:r>
      <w:proofErr w:type="spellStart"/>
      <w:r w:rsidRPr="00A7556F">
        <w:rPr>
          <w:rFonts w:ascii="Times New Roman" w:eastAsia="SimSun" w:hAnsi="Times New Roman" w:cs="Mangal"/>
          <w:kern w:val="1"/>
          <w:sz w:val="24"/>
          <w:szCs w:val="24"/>
          <w:lang w:eastAsia="hi-IN" w:bidi="hi-IN"/>
        </w:rPr>
        <w:t>Transnationalist</w:t>
      </w:r>
      <w:proofErr w:type="spellEnd"/>
      <w:r w:rsidRPr="00A7556F">
        <w:rPr>
          <w:rFonts w:ascii="Times New Roman" w:eastAsia="SimSun" w:hAnsi="Times New Roman" w:cs="Mangal"/>
          <w:kern w:val="1"/>
          <w:sz w:val="24"/>
          <w:szCs w:val="24"/>
          <w:lang w:eastAsia="hi-IN" w:bidi="hi-IN"/>
        </w:rPr>
        <w:t xml:space="preserve"> after all?” </w:t>
      </w:r>
      <w:r w:rsidRPr="00A7556F">
        <w:rPr>
          <w:rFonts w:ascii="Times New Roman" w:eastAsia="SimSun" w:hAnsi="Times New Roman" w:cs="Mangal"/>
          <w:i/>
          <w:kern w:val="1"/>
          <w:sz w:val="24"/>
          <w:szCs w:val="24"/>
          <w:lang w:eastAsia="hi-IN" w:bidi="hi-IN"/>
        </w:rPr>
        <w:t xml:space="preserve">Lewis &amp; Clark Law Review </w:t>
      </w:r>
      <w:r w:rsidRPr="00A7556F">
        <w:rPr>
          <w:rFonts w:ascii="Times New Roman" w:eastAsia="SimSun" w:hAnsi="Times New Roman" w:cs="Mangal"/>
          <w:kern w:val="1"/>
          <w:sz w:val="24"/>
          <w:szCs w:val="24"/>
          <w:lang w:eastAsia="hi-IN" w:bidi="hi-IN"/>
        </w:rPr>
        <w:t>11(1): 89-98.</w:t>
      </w:r>
    </w:p>
    <w:p w14:paraId="7BFA29EA" w14:textId="77777777" w:rsidR="00FE26D9" w:rsidRDefault="00FE26D9" w:rsidP="00FE26D9">
      <w:pPr>
        <w:widowControl w:val="0"/>
        <w:suppressAutoHyphens/>
        <w:spacing w:after="120" w:line="276" w:lineRule="auto"/>
        <w:ind w:left="432" w:hanging="432"/>
        <w:rPr>
          <w:rFonts w:ascii="Times New Roman" w:eastAsia="SimSun" w:hAnsi="Times New Roman" w:cs="Mangal"/>
          <w:kern w:val="1"/>
          <w:sz w:val="24"/>
          <w:szCs w:val="24"/>
          <w:lang w:eastAsia="hi-IN" w:bidi="hi-IN"/>
        </w:rPr>
      </w:pPr>
      <w:proofErr w:type="spellStart"/>
      <w:r w:rsidRPr="00FE26D9">
        <w:rPr>
          <w:rFonts w:ascii="Times New Roman" w:eastAsia="SimSun" w:hAnsi="Times New Roman" w:cs="Mangal"/>
          <w:kern w:val="1"/>
          <w:sz w:val="24"/>
          <w:szCs w:val="24"/>
          <w:lang w:eastAsia="hi-IN" w:bidi="hi-IN"/>
        </w:rPr>
        <w:t>Zaring</w:t>
      </w:r>
      <w:proofErr w:type="spellEnd"/>
      <w:r w:rsidRPr="00FE26D9">
        <w:rPr>
          <w:rFonts w:ascii="Times New Roman" w:eastAsia="SimSun" w:hAnsi="Times New Roman" w:cs="Mangal"/>
          <w:kern w:val="1"/>
          <w:sz w:val="24"/>
          <w:szCs w:val="24"/>
          <w:lang w:eastAsia="hi-IN" w:bidi="hi-IN"/>
        </w:rPr>
        <w:t xml:space="preserve">, David. 2006. “The Use of Foreign Decisions by Federal Courts: An Empirical Analysis.” </w:t>
      </w:r>
      <w:r w:rsidRPr="00FE26D9">
        <w:rPr>
          <w:rFonts w:ascii="Times New Roman" w:eastAsia="SimSun" w:hAnsi="Times New Roman" w:cs="Mangal"/>
          <w:i/>
          <w:kern w:val="1"/>
          <w:sz w:val="24"/>
          <w:szCs w:val="24"/>
          <w:lang w:eastAsia="hi-IN" w:bidi="hi-IN"/>
        </w:rPr>
        <w:t xml:space="preserve">Journal of Empirical Legal Studies </w:t>
      </w:r>
      <w:r w:rsidRPr="00FE26D9">
        <w:rPr>
          <w:rFonts w:ascii="Times New Roman" w:eastAsia="SimSun" w:hAnsi="Times New Roman" w:cs="Mangal"/>
          <w:kern w:val="1"/>
          <w:sz w:val="24"/>
          <w:szCs w:val="24"/>
          <w:lang w:eastAsia="hi-IN" w:bidi="hi-IN"/>
        </w:rPr>
        <w:t>3(2): 297-331.</w:t>
      </w:r>
    </w:p>
    <w:p w14:paraId="4726E5A7" w14:textId="77777777" w:rsidR="00901BD6" w:rsidRDefault="00901BD6" w:rsidP="00FE26D9">
      <w:pPr>
        <w:widowControl w:val="0"/>
        <w:suppressAutoHyphens/>
        <w:spacing w:after="120" w:line="276" w:lineRule="auto"/>
        <w:ind w:left="432" w:hanging="432"/>
        <w:rPr>
          <w:rFonts w:ascii="Times New Roman" w:eastAsia="SimSun" w:hAnsi="Times New Roman" w:cs="Mangal"/>
          <w:kern w:val="1"/>
          <w:sz w:val="24"/>
          <w:szCs w:val="24"/>
          <w:lang w:eastAsia="hi-IN" w:bidi="hi-IN"/>
        </w:rPr>
      </w:pPr>
    </w:p>
    <w:p w14:paraId="3A450405" w14:textId="77777777" w:rsidR="00901BD6" w:rsidRDefault="00901BD6" w:rsidP="00901BD6">
      <w:pPr>
        <w:widowControl w:val="0"/>
        <w:suppressAutoHyphens/>
        <w:spacing w:after="120" w:line="276" w:lineRule="auto"/>
        <w:rPr>
          <w:rFonts w:ascii="Times New Roman" w:eastAsia="SimSun" w:hAnsi="Times New Roman" w:cs="Mangal"/>
          <w:kern w:val="1"/>
          <w:sz w:val="24"/>
          <w:szCs w:val="24"/>
          <w:lang w:eastAsia="hi-IN" w:bidi="hi-IN"/>
        </w:rPr>
      </w:pPr>
    </w:p>
    <w:p w14:paraId="04B8112E" w14:textId="77777777" w:rsidR="00436E9E" w:rsidRDefault="00436E9E"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2477D1A0" w14:textId="77777777" w:rsidR="00436E9E" w:rsidRDefault="00436E9E"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23B1BEA5" w14:textId="77777777" w:rsidR="00436E9E" w:rsidRDefault="00436E9E"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74EB7969" w14:textId="77777777" w:rsidR="00436E9E" w:rsidRDefault="00436E9E"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25F65E5E"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445A3E77"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10933C6C"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3746A2BE"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01EB1450"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15B604A9"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0504B718"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4FEB93C5"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1BE607AE"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31DFAB24"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007A04BE"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06F39974"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5EB074DB"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6EB411A9"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3175F4BE"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128D68EB"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25F7EDD4"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4106FCF4" w14:textId="77777777" w:rsidR="00626761" w:rsidRDefault="00626761"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089D9733" w14:textId="336B9384" w:rsidR="00901BD6" w:rsidRDefault="00901BD6" w:rsidP="00901BD6">
      <w:pPr>
        <w:widowControl w:val="0"/>
        <w:suppressAutoHyphens/>
        <w:spacing w:after="120" w:line="276" w:lineRule="auto"/>
        <w:rPr>
          <w:rFonts w:ascii="Times New Roman" w:eastAsia="SimSun" w:hAnsi="Times New Roman" w:cs="Mangal"/>
          <w:b/>
          <w:kern w:val="1"/>
          <w:sz w:val="24"/>
          <w:szCs w:val="24"/>
          <w:lang w:eastAsia="hi-IN" w:bidi="hi-IN"/>
        </w:rPr>
      </w:pPr>
      <w:r>
        <w:rPr>
          <w:rFonts w:ascii="Times New Roman" w:eastAsia="SimSun" w:hAnsi="Times New Roman" w:cs="Mangal"/>
          <w:b/>
          <w:kern w:val="1"/>
          <w:sz w:val="24"/>
          <w:szCs w:val="24"/>
          <w:lang w:eastAsia="hi-IN" w:bidi="hi-IN"/>
        </w:rPr>
        <w:lastRenderedPageBreak/>
        <w:t>Table 1: Effect of Foreign and International Law Citations in Parties’ and Amici Briefs on Supreme Court Transnational Communication</w:t>
      </w:r>
    </w:p>
    <w:p w14:paraId="20BE424A" w14:textId="77777777" w:rsidR="00901BD6" w:rsidRDefault="00901BD6" w:rsidP="00901BD6">
      <w:pPr>
        <w:widowControl w:val="0"/>
        <w:suppressAutoHyphens/>
        <w:spacing w:after="120" w:line="276" w:lineRule="auto"/>
        <w:rPr>
          <w:rFonts w:ascii="Times New Roman" w:eastAsia="SimSun" w:hAnsi="Times New Roman" w:cs="Mangal"/>
          <w:b/>
          <w:kern w:val="1"/>
          <w:sz w:val="24"/>
          <w:szCs w:val="24"/>
          <w:lang w:eastAsia="hi-IN" w:bidi="hi-IN"/>
        </w:rPr>
      </w:pPr>
    </w:p>
    <w:tbl>
      <w:tblPr>
        <w:tblW w:w="0" w:type="auto"/>
        <w:jc w:val="center"/>
        <w:tblLayout w:type="fixed"/>
        <w:tblCellMar>
          <w:left w:w="75" w:type="dxa"/>
          <w:right w:w="75" w:type="dxa"/>
        </w:tblCellMar>
        <w:tblLook w:val="0000" w:firstRow="0" w:lastRow="0" w:firstColumn="0" w:lastColumn="0" w:noHBand="0" w:noVBand="0"/>
      </w:tblPr>
      <w:tblGrid>
        <w:gridCol w:w="3871"/>
        <w:gridCol w:w="2691"/>
      </w:tblGrid>
      <w:tr w:rsidR="00901BD6" w14:paraId="485FEBFC" w14:textId="77777777" w:rsidTr="00274774">
        <w:trPr>
          <w:jc w:val="center"/>
        </w:trPr>
        <w:tc>
          <w:tcPr>
            <w:tcW w:w="3871" w:type="dxa"/>
            <w:tcBorders>
              <w:top w:val="single" w:sz="6" w:space="0" w:color="auto"/>
              <w:left w:val="nil"/>
              <w:bottom w:val="nil"/>
              <w:right w:val="nil"/>
            </w:tcBorders>
          </w:tcPr>
          <w:p w14:paraId="3E01E4A7"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single" w:sz="6" w:space="0" w:color="auto"/>
              <w:left w:val="nil"/>
              <w:bottom w:val="nil"/>
              <w:right w:val="nil"/>
            </w:tcBorders>
          </w:tcPr>
          <w:p w14:paraId="69ADB75A"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p>
        </w:tc>
      </w:tr>
      <w:tr w:rsidR="00901BD6" w14:paraId="47E4F2DA" w14:textId="77777777" w:rsidTr="00274774">
        <w:trPr>
          <w:jc w:val="center"/>
        </w:trPr>
        <w:tc>
          <w:tcPr>
            <w:tcW w:w="3871" w:type="dxa"/>
            <w:tcBorders>
              <w:top w:val="nil"/>
              <w:left w:val="nil"/>
              <w:bottom w:val="single" w:sz="6" w:space="0" w:color="auto"/>
              <w:right w:val="nil"/>
            </w:tcBorders>
          </w:tcPr>
          <w:p w14:paraId="22ECF8CB"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2691" w:type="dxa"/>
            <w:tcBorders>
              <w:top w:val="nil"/>
              <w:left w:val="nil"/>
              <w:bottom w:val="single" w:sz="6" w:space="0" w:color="auto"/>
              <w:right w:val="nil"/>
            </w:tcBorders>
          </w:tcPr>
          <w:p w14:paraId="781139D7"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Opinion Citation</w:t>
            </w:r>
          </w:p>
        </w:tc>
      </w:tr>
      <w:tr w:rsidR="00901BD6" w14:paraId="457E2F0A" w14:textId="77777777" w:rsidTr="00274774">
        <w:trPr>
          <w:jc w:val="center"/>
        </w:trPr>
        <w:tc>
          <w:tcPr>
            <w:tcW w:w="3871" w:type="dxa"/>
            <w:tcBorders>
              <w:top w:val="nil"/>
              <w:left w:val="nil"/>
              <w:bottom w:val="nil"/>
              <w:right w:val="nil"/>
            </w:tcBorders>
          </w:tcPr>
          <w:p w14:paraId="354577E0"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4514AEAE"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p>
        </w:tc>
      </w:tr>
      <w:tr w:rsidR="00901BD6" w14:paraId="4C6F334C" w14:textId="77777777" w:rsidTr="00274774">
        <w:trPr>
          <w:jc w:val="center"/>
        </w:trPr>
        <w:tc>
          <w:tcPr>
            <w:tcW w:w="3871" w:type="dxa"/>
            <w:tcBorders>
              <w:top w:val="nil"/>
              <w:left w:val="nil"/>
              <w:bottom w:val="nil"/>
              <w:right w:val="nil"/>
            </w:tcBorders>
          </w:tcPr>
          <w:p w14:paraId="14DF66B5"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Party Brief Citation</w:t>
            </w:r>
          </w:p>
        </w:tc>
        <w:tc>
          <w:tcPr>
            <w:tcW w:w="2691" w:type="dxa"/>
            <w:tcBorders>
              <w:top w:val="nil"/>
              <w:left w:val="nil"/>
              <w:bottom w:val="nil"/>
              <w:right w:val="nil"/>
            </w:tcBorders>
          </w:tcPr>
          <w:p w14:paraId="5973D996"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1.061***</w:t>
            </w:r>
          </w:p>
        </w:tc>
      </w:tr>
      <w:tr w:rsidR="00901BD6" w14:paraId="70581D3A" w14:textId="77777777" w:rsidTr="00274774">
        <w:trPr>
          <w:jc w:val="center"/>
        </w:trPr>
        <w:tc>
          <w:tcPr>
            <w:tcW w:w="3871" w:type="dxa"/>
            <w:tcBorders>
              <w:top w:val="nil"/>
              <w:left w:val="nil"/>
              <w:bottom w:val="nil"/>
              <w:right w:val="nil"/>
            </w:tcBorders>
          </w:tcPr>
          <w:p w14:paraId="610FC259"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349FC512"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w:t>
            </w:r>
          </w:p>
        </w:tc>
      </w:tr>
      <w:tr w:rsidR="00901BD6" w14:paraId="1B33F62B" w14:textId="77777777" w:rsidTr="00274774">
        <w:trPr>
          <w:jc w:val="center"/>
        </w:trPr>
        <w:tc>
          <w:tcPr>
            <w:tcW w:w="3871" w:type="dxa"/>
            <w:tcBorders>
              <w:top w:val="nil"/>
              <w:left w:val="nil"/>
              <w:bottom w:val="nil"/>
              <w:right w:val="nil"/>
            </w:tcBorders>
          </w:tcPr>
          <w:p w14:paraId="7F66242A"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Amicus Brief Citation</w:t>
            </w:r>
          </w:p>
        </w:tc>
        <w:tc>
          <w:tcPr>
            <w:tcW w:w="2691" w:type="dxa"/>
            <w:tcBorders>
              <w:top w:val="nil"/>
              <w:left w:val="nil"/>
              <w:bottom w:val="nil"/>
              <w:right w:val="nil"/>
            </w:tcBorders>
          </w:tcPr>
          <w:p w14:paraId="0C866742"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1.290***</w:t>
            </w:r>
          </w:p>
        </w:tc>
      </w:tr>
      <w:tr w:rsidR="00901BD6" w14:paraId="58D4869C" w14:textId="77777777" w:rsidTr="00274774">
        <w:trPr>
          <w:jc w:val="center"/>
        </w:trPr>
        <w:tc>
          <w:tcPr>
            <w:tcW w:w="3871" w:type="dxa"/>
            <w:tcBorders>
              <w:top w:val="nil"/>
              <w:left w:val="nil"/>
              <w:bottom w:val="nil"/>
              <w:right w:val="nil"/>
            </w:tcBorders>
          </w:tcPr>
          <w:p w14:paraId="33778306"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0AEA47E3"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(0.291)</w:t>
            </w:r>
          </w:p>
        </w:tc>
      </w:tr>
      <w:tr w:rsidR="00901BD6" w14:paraId="72DE6C64" w14:textId="77777777" w:rsidTr="00274774">
        <w:trPr>
          <w:jc w:val="center"/>
        </w:trPr>
        <w:tc>
          <w:tcPr>
            <w:tcW w:w="3871" w:type="dxa"/>
            <w:tcBorders>
              <w:top w:val="nil"/>
              <w:left w:val="nil"/>
              <w:bottom w:val="nil"/>
              <w:right w:val="nil"/>
            </w:tcBorders>
          </w:tcPr>
          <w:p w14:paraId="6C3D02E2"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Lower Court Citation</w:t>
            </w:r>
          </w:p>
        </w:tc>
        <w:tc>
          <w:tcPr>
            <w:tcW w:w="2691" w:type="dxa"/>
            <w:tcBorders>
              <w:top w:val="nil"/>
              <w:left w:val="nil"/>
              <w:bottom w:val="nil"/>
              <w:right w:val="nil"/>
            </w:tcBorders>
          </w:tcPr>
          <w:p w14:paraId="7BA48DBC"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2.069***</w:t>
            </w:r>
          </w:p>
        </w:tc>
      </w:tr>
      <w:tr w:rsidR="00901BD6" w14:paraId="1A075385" w14:textId="77777777" w:rsidTr="00274774">
        <w:trPr>
          <w:jc w:val="center"/>
        </w:trPr>
        <w:tc>
          <w:tcPr>
            <w:tcW w:w="3871" w:type="dxa"/>
            <w:tcBorders>
              <w:top w:val="nil"/>
              <w:left w:val="nil"/>
              <w:bottom w:val="nil"/>
              <w:right w:val="nil"/>
            </w:tcBorders>
          </w:tcPr>
          <w:p w14:paraId="59F12559"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1332AC43"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(0.405)</w:t>
            </w:r>
          </w:p>
        </w:tc>
      </w:tr>
      <w:tr w:rsidR="00901BD6" w14:paraId="5BFF1A3B" w14:textId="77777777" w:rsidTr="00274774">
        <w:trPr>
          <w:jc w:val="center"/>
        </w:trPr>
        <w:tc>
          <w:tcPr>
            <w:tcW w:w="3871" w:type="dxa"/>
            <w:tcBorders>
              <w:top w:val="nil"/>
              <w:left w:val="nil"/>
              <w:bottom w:val="nil"/>
              <w:right w:val="nil"/>
            </w:tcBorders>
          </w:tcPr>
          <w:p w14:paraId="261BCC3E"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Foreign Issue</w:t>
            </w:r>
          </w:p>
        </w:tc>
        <w:tc>
          <w:tcPr>
            <w:tcW w:w="2691" w:type="dxa"/>
            <w:tcBorders>
              <w:top w:val="nil"/>
              <w:left w:val="nil"/>
              <w:bottom w:val="nil"/>
              <w:right w:val="nil"/>
            </w:tcBorders>
          </w:tcPr>
          <w:p w14:paraId="13771F79"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1.988***</w:t>
            </w:r>
          </w:p>
        </w:tc>
      </w:tr>
      <w:tr w:rsidR="00901BD6" w14:paraId="13E3F2A3" w14:textId="77777777" w:rsidTr="00274774">
        <w:trPr>
          <w:jc w:val="center"/>
        </w:trPr>
        <w:tc>
          <w:tcPr>
            <w:tcW w:w="3871" w:type="dxa"/>
            <w:tcBorders>
              <w:top w:val="nil"/>
              <w:left w:val="nil"/>
              <w:bottom w:val="nil"/>
              <w:right w:val="nil"/>
            </w:tcBorders>
          </w:tcPr>
          <w:p w14:paraId="649E28E4"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22939C67"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(0.284)</w:t>
            </w:r>
          </w:p>
        </w:tc>
      </w:tr>
      <w:tr w:rsidR="00901BD6" w14:paraId="1B339ECC" w14:textId="77777777" w:rsidTr="00274774">
        <w:trPr>
          <w:jc w:val="center"/>
        </w:trPr>
        <w:tc>
          <w:tcPr>
            <w:tcW w:w="3871" w:type="dxa"/>
            <w:tcBorders>
              <w:top w:val="nil"/>
              <w:left w:val="nil"/>
              <w:bottom w:val="nil"/>
              <w:right w:val="nil"/>
            </w:tcBorders>
          </w:tcPr>
          <w:p w14:paraId="2AE01B2D"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Previous Citation</w:t>
            </w:r>
          </w:p>
        </w:tc>
        <w:tc>
          <w:tcPr>
            <w:tcW w:w="2691" w:type="dxa"/>
            <w:tcBorders>
              <w:top w:val="nil"/>
              <w:left w:val="nil"/>
              <w:bottom w:val="nil"/>
              <w:right w:val="nil"/>
            </w:tcBorders>
          </w:tcPr>
          <w:p w14:paraId="727F5D85"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0.228</w:t>
            </w:r>
          </w:p>
        </w:tc>
      </w:tr>
      <w:tr w:rsidR="00901BD6" w14:paraId="7215C02C" w14:textId="77777777" w:rsidTr="00274774">
        <w:trPr>
          <w:jc w:val="center"/>
        </w:trPr>
        <w:tc>
          <w:tcPr>
            <w:tcW w:w="3871" w:type="dxa"/>
            <w:tcBorders>
              <w:top w:val="nil"/>
              <w:left w:val="nil"/>
              <w:bottom w:val="nil"/>
              <w:right w:val="nil"/>
            </w:tcBorders>
          </w:tcPr>
          <w:p w14:paraId="265FA5BE"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3E663540"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(0.256)</w:t>
            </w:r>
          </w:p>
        </w:tc>
      </w:tr>
      <w:tr w:rsidR="00901BD6" w14:paraId="4CC153E9" w14:textId="77777777" w:rsidTr="00274774">
        <w:trPr>
          <w:jc w:val="center"/>
        </w:trPr>
        <w:tc>
          <w:tcPr>
            <w:tcW w:w="3871" w:type="dxa"/>
            <w:tcBorders>
              <w:top w:val="nil"/>
              <w:left w:val="nil"/>
              <w:bottom w:val="nil"/>
              <w:right w:val="nil"/>
            </w:tcBorders>
          </w:tcPr>
          <w:p w14:paraId="477A55B7"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w:t>
            </w:r>
          </w:p>
        </w:tc>
        <w:tc>
          <w:tcPr>
            <w:tcW w:w="2691" w:type="dxa"/>
            <w:tcBorders>
              <w:top w:val="nil"/>
              <w:left w:val="nil"/>
              <w:bottom w:val="nil"/>
              <w:right w:val="nil"/>
            </w:tcBorders>
          </w:tcPr>
          <w:p w14:paraId="3B371F87"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-0.00385</w:t>
            </w:r>
          </w:p>
        </w:tc>
      </w:tr>
      <w:tr w:rsidR="00901BD6" w14:paraId="3B15E845" w14:textId="77777777" w:rsidTr="00274774">
        <w:trPr>
          <w:jc w:val="center"/>
        </w:trPr>
        <w:tc>
          <w:tcPr>
            <w:tcW w:w="3871" w:type="dxa"/>
            <w:tcBorders>
              <w:top w:val="nil"/>
              <w:left w:val="nil"/>
              <w:bottom w:val="nil"/>
              <w:right w:val="nil"/>
            </w:tcBorders>
          </w:tcPr>
          <w:p w14:paraId="2FBCF1A1"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7E8E7B1C"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(0.0198)</w:t>
            </w:r>
          </w:p>
        </w:tc>
      </w:tr>
      <w:tr w:rsidR="00901BD6" w14:paraId="7580DF04" w14:textId="77777777" w:rsidTr="00274774">
        <w:trPr>
          <w:jc w:val="center"/>
        </w:trPr>
        <w:tc>
          <w:tcPr>
            <w:tcW w:w="3871" w:type="dxa"/>
            <w:tcBorders>
              <w:top w:val="nil"/>
              <w:left w:val="nil"/>
              <w:bottom w:val="nil"/>
              <w:right w:val="nil"/>
            </w:tcBorders>
          </w:tcPr>
          <w:p w14:paraId="527C65B9"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Judicial Review</w:t>
            </w:r>
          </w:p>
        </w:tc>
        <w:tc>
          <w:tcPr>
            <w:tcW w:w="2691" w:type="dxa"/>
            <w:tcBorders>
              <w:top w:val="nil"/>
              <w:left w:val="nil"/>
              <w:bottom w:val="nil"/>
              <w:right w:val="nil"/>
            </w:tcBorders>
          </w:tcPr>
          <w:p w14:paraId="09574F10"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0.362**</w:t>
            </w:r>
          </w:p>
        </w:tc>
      </w:tr>
      <w:tr w:rsidR="00901BD6" w14:paraId="52CF5BD0" w14:textId="77777777" w:rsidTr="00274774">
        <w:trPr>
          <w:jc w:val="center"/>
        </w:trPr>
        <w:tc>
          <w:tcPr>
            <w:tcW w:w="3871" w:type="dxa"/>
            <w:tcBorders>
              <w:top w:val="nil"/>
              <w:left w:val="nil"/>
              <w:bottom w:val="nil"/>
              <w:right w:val="nil"/>
            </w:tcBorders>
          </w:tcPr>
          <w:p w14:paraId="6BF8A439"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3CC0FDA4"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(0.170)</w:t>
            </w:r>
          </w:p>
        </w:tc>
      </w:tr>
      <w:tr w:rsidR="00901BD6" w14:paraId="1B65125E" w14:textId="77777777" w:rsidTr="00274774">
        <w:trPr>
          <w:jc w:val="center"/>
        </w:trPr>
        <w:tc>
          <w:tcPr>
            <w:tcW w:w="3871" w:type="dxa"/>
            <w:tcBorders>
              <w:top w:val="nil"/>
              <w:left w:val="nil"/>
              <w:bottom w:val="nil"/>
              <w:right w:val="nil"/>
            </w:tcBorders>
          </w:tcPr>
          <w:p w14:paraId="78020F3A"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Overturn Precedent</w:t>
            </w:r>
          </w:p>
        </w:tc>
        <w:tc>
          <w:tcPr>
            <w:tcW w:w="2691" w:type="dxa"/>
            <w:tcBorders>
              <w:top w:val="nil"/>
              <w:left w:val="nil"/>
              <w:bottom w:val="nil"/>
              <w:right w:val="nil"/>
            </w:tcBorders>
          </w:tcPr>
          <w:p w14:paraId="020F2E04"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1.611***</w:t>
            </w:r>
          </w:p>
        </w:tc>
      </w:tr>
      <w:tr w:rsidR="00901BD6" w14:paraId="06753C52" w14:textId="77777777" w:rsidTr="00274774">
        <w:trPr>
          <w:jc w:val="center"/>
        </w:trPr>
        <w:tc>
          <w:tcPr>
            <w:tcW w:w="3871" w:type="dxa"/>
            <w:tcBorders>
              <w:top w:val="nil"/>
              <w:left w:val="nil"/>
              <w:bottom w:val="nil"/>
              <w:right w:val="nil"/>
            </w:tcBorders>
          </w:tcPr>
          <w:p w14:paraId="0F7E5B7F"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7D88DC38"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(0.442)</w:t>
            </w:r>
          </w:p>
        </w:tc>
      </w:tr>
      <w:tr w:rsidR="00901BD6" w14:paraId="0493017B" w14:textId="77777777" w:rsidTr="00274774">
        <w:trPr>
          <w:jc w:val="center"/>
        </w:trPr>
        <w:tc>
          <w:tcPr>
            <w:tcW w:w="3871" w:type="dxa"/>
            <w:tcBorders>
              <w:top w:val="nil"/>
              <w:left w:val="nil"/>
              <w:bottom w:val="nil"/>
              <w:right w:val="nil"/>
            </w:tcBorders>
          </w:tcPr>
          <w:p w14:paraId="5A97BF86"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p>
        </w:tc>
        <w:tc>
          <w:tcPr>
            <w:tcW w:w="2691" w:type="dxa"/>
            <w:tcBorders>
              <w:top w:val="nil"/>
              <w:left w:val="nil"/>
              <w:bottom w:val="nil"/>
              <w:right w:val="nil"/>
            </w:tcBorders>
          </w:tcPr>
          <w:p w14:paraId="0A9B5831"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p>
        </w:tc>
      </w:tr>
      <w:tr w:rsidR="00901BD6" w14:paraId="7FF93F1E" w14:textId="77777777" w:rsidTr="00274774">
        <w:tblPrEx>
          <w:tblBorders>
            <w:bottom w:val="single" w:sz="6" w:space="0" w:color="auto"/>
          </w:tblBorders>
        </w:tblPrEx>
        <w:trPr>
          <w:jc w:val="center"/>
        </w:trPr>
        <w:tc>
          <w:tcPr>
            <w:tcW w:w="3871" w:type="dxa"/>
            <w:tcBorders>
              <w:top w:val="nil"/>
              <w:left w:val="nil"/>
              <w:bottom w:val="single" w:sz="6" w:space="0" w:color="auto"/>
              <w:right w:val="nil"/>
            </w:tcBorders>
          </w:tcPr>
          <w:p w14:paraId="16AC8F92" w14:textId="77777777" w:rsidR="00901BD6" w:rsidRDefault="00901BD6" w:rsidP="0027477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2691" w:type="dxa"/>
            <w:tcBorders>
              <w:top w:val="nil"/>
              <w:left w:val="nil"/>
              <w:bottom w:val="single" w:sz="6" w:space="0" w:color="auto"/>
              <w:right w:val="nil"/>
            </w:tcBorders>
          </w:tcPr>
          <w:p w14:paraId="750C9D3E" w14:textId="77777777" w:rsidR="00901BD6" w:rsidRDefault="00901BD6" w:rsidP="0027477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2,247</w:t>
            </w:r>
          </w:p>
        </w:tc>
      </w:tr>
    </w:tbl>
    <w:p w14:paraId="17F75BCF" w14:textId="77777777" w:rsidR="00901BD6" w:rsidRDefault="00901BD6" w:rsidP="00901BD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14:paraId="0789DC0F" w14:textId="77777777" w:rsidR="00901BD6" w:rsidRDefault="00901BD6" w:rsidP="00901BD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14:paraId="4ECBE658" w14:textId="77777777" w:rsidR="00901BD6" w:rsidRDefault="00901BD6" w:rsidP="00901BD6">
      <w:pPr>
        <w:widowControl w:val="0"/>
        <w:autoSpaceDE w:val="0"/>
        <w:autoSpaceDN w:val="0"/>
        <w:adjustRightInd w:val="0"/>
        <w:spacing w:after="0" w:line="240" w:lineRule="auto"/>
        <w:jc w:val="center"/>
        <w:rPr>
          <w:rFonts w:ascii="Times New Roman" w:hAnsi="Times New Roman" w:cs="Times New Roman"/>
          <w:sz w:val="24"/>
          <w:szCs w:val="24"/>
        </w:rPr>
      </w:pPr>
    </w:p>
    <w:p w14:paraId="7F508EF6" w14:textId="77777777" w:rsidR="00901BD6" w:rsidRDefault="00901BD6" w:rsidP="00901BD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model also includes opinion author fixed effects that have been omitted from the table in the interest of space.</w:t>
      </w:r>
    </w:p>
    <w:p w14:paraId="50898121" w14:textId="77777777" w:rsidR="00901BD6" w:rsidRPr="00901BD6" w:rsidRDefault="00901BD6" w:rsidP="00901BD6">
      <w:pPr>
        <w:widowControl w:val="0"/>
        <w:suppressAutoHyphens/>
        <w:spacing w:after="120" w:line="276" w:lineRule="auto"/>
        <w:rPr>
          <w:rFonts w:ascii="Times New Roman" w:eastAsia="SimSun" w:hAnsi="Times New Roman" w:cs="Mangal"/>
          <w:b/>
          <w:kern w:val="1"/>
          <w:sz w:val="24"/>
          <w:szCs w:val="24"/>
          <w:lang w:eastAsia="hi-IN" w:bidi="hi-IN"/>
        </w:rPr>
      </w:pPr>
    </w:p>
    <w:p w14:paraId="462BC24E" w14:textId="77777777" w:rsidR="00E1434C" w:rsidRDefault="00E1434C" w:rsidP="00FE26D9">
      <w:pPr>
        <w:widowControl w:val="0"/>
        <w:suppressAutoHyphens/>
        <w:spacing w:after="120" w:line="276" w:lineRule="auto"/>
        <w:ind w:left="432" w:hanging="432"/>
        <w:rPr>
          <w:rFonts w:ascii="Times New Roman" w:eastAsia="SimSun" w:hAnsi="Times New Roman" w:cs="Mangal"/>
          <w:kern w:val="1"/>
          <w:sz w:val="24"/>
          <w:szCs w:val="24"/>
          <w:lang w:eastAsia="hi-IN" w:bidi="hi-IN"/>
        </w:rPr>
      </w:pPr>
    </w:p>
    <w:p w14:paraId="17C9F2B8" w14:textId="77777777" w:rsidR="00E1434C" w:rsidRDefault="00E1434C" w:rsidP="00FE26D9">
      <w:pPr>
        <w:widowControl w:val="0"/>
        <w:suppressAutoHyphens/>
        <w:spacing w:after="120" w:line="276" w:lineRule="auto"/>
        <w:ind w:left="432" w:hanging="432"/>
        <w:rPr>
          <w:rFonts w:ascii="Times New Roman" w:eastAsia="SimSun" w:hAnsi="Times New Roman" w:cs="Mangal"/>
          <w:kern w:val="1"/>
          <w:sz w:val="24"/>
          <w:szCs w:val="24"/>
          <w:lang w:eastAsia="hi-IN" w:bidi="hi-IN"/>
        </w:rPr>
      </w:pPr>
    </w:p>
    <w:p w14:paraId="39714227" w14:textId="77777777" w:rsidR="00E1434C" w:rsidRDefault="00E1434C" w:rsidP="00E1434C">
      <w:pPr>
        <w:widowControl w:val="0"/>
        <w:suppressAutoHyphens/>
        <w:spacing w:after="120" w:line="276" w:lineRule="auto"/>
        <w:rPr>
          <w:rFonts w:ascii="Times New Roman" w:eastAsia="SimSun" w:hAnsi="Times New Roman" w:cs="Mangal"/>
          <w:kern w:val="1"/>
          <w:sz w:val="24"/>
          <w:szCs w:val="24"/>
          <w:lang w:eastAsia="hi-IN" w:bidi="hi-IN"/>
        </w:rPr>
      </w:pPr>
    </w:p>
    <w:p w14:paraId="4903ACAE" w14:textId="77777777" w:rsidR="00436E9E" w:rsidRDefault="00436E9E" w:rsidP="00E1434C">
      <w:pPr>
        <w:widowControl w:val="0"/>
        <w:suppressAutoHyphens/>
        <w:spacing w:after="120" w:line="276" w:lineRule="auto"/>
        <w:rPr>
          <w:rFonts w:ascii="Times New Roman" w:eastAsia="SimSun" w:hAnsi="Times New Roman" w:cs="Mangal"/>
          <w:b/>
          <w:kern w:val="1"/>
          <w:sz w:val="24"/>
          <w:szCs w:val="24"/>
          <w:lang w:eastAsia="hi-IN" w:bidi="hi-IN"/>
        </w:rPr>
      </w:pPr>
    </w:p>
    <w:p w14:paraId="2D04793C" w14:textId="77777777" w:rsidR="00436E9E" w:rsidRDefault="00436E9E" w:rsidP="00E1434C">
      <w:pPr>
        <w:widowControl w:val="0"/>
        <w:suppressAutoHyphens/>
        <w:spacing w:after="120" w:line="276" w:lineRule="auto"/>
        <w:rPr>
          <w:rFonts w:ascii="Times New Roman" w:eastAsia="SimSun" w:hAnsi="Times New Roman" w:cs="Mangal"/>
          <w:b/>
          <w:kern w:val="1"/>
          <w:sz w:val="24"/>
          <w:szCs w:val="24"/>
          <w:lang w:eastAsia="hi-IN" w:bidi="hi-IN"/>
        </w:rPr>
      </w:pPr>
    </w:p>
    <w:p w14:paraId="1FABCD76" w14:textId="77777777" w:rsidR="00436E9E" w:rsidRDefault="00436E9E" w:rsidP="00E1434C">
      <w:pPr>
        <w:widowControl w:val="0"/>
        <w:suppressAutoHyphens/>
        <w:spacing w:after="120" w:line="276" w:lineRule="auto"/>
        <w:rPr>
          <w:rFonts w:ascii="Times New Roman" w:eastAsia="SimSun" w:hAnsi="Times New Roman" w:cs="Mangal"/>
          <w:b/>
          <w:kern w:val="1"/>
          <w:sz w:val="24"/>
          <w:szCs w:val="24"/>
          <w:lang w:eastAsia="hi-IN" w:bidi="hi-IN"/>
        </w:rPr>
      </w:pPr>
    </w:p>
    <w:p w14:paraId="0CD7F88A" w14:textId="77777777" w:rsidR="00626761" w:rsidRDefault="00626761" w:rsidP="00E1434C">
      <w:pPr>
        <w:widowControl w:val="0"/>
        <w:suppressAutoHyphens/>
        <w:spacing w:after="120" w:line="276" w:lineRule="auto"/>
        <w:rPr>
          <w:rFonts w:ascii="Times New Roman" w:eastAsia="SimSun" w:hAnsi="Times New Roman" w:cs="Mangal"/>
          <w:b/>
          <w:kern w:val="1"/>
          <w:sz w:val="24"/>
          <w:szCs w:val="24"/>
          <w:lang w:eastAsia="hi-IN" w:bidi="hi-IN"/>
        </w:rPr>
      </w:pPr>
    </w:p>
    <w:p w14:paraId="7B373D20" w14:textId="77777777" w:rsidR="00626761" w:rsidRDefault="00626761" w:rsidP="00E1434C">
      <w:pPr>
        <w:widowControl w:val="0"/>
        <w:suppressAutoHyphens/>
        <w:spacing w:after="120" w:line="276" w:lineRule="auto"/>
        <w:rPr>
          <w:rFonts w:ascii="Times New Roman" w:eastAsia="SimSun" w:hAnsi="Times New Roman" w:cs="Mangal"/>
          <w:b/>
          <w:kern w:val="1"/>
          <w:sz w:val="24"/>
          <w:szCs w:val="24"/>
          <w:lang w:eastAsia="hi-IN" w:bidi="hi-IN"/>
        </w:rPr>
      </w:pPr>
    </w:p>
    <w:p w14:paraId="1B503BAB" w14:textId="77777777" w:rsidR="00626761" w:rsidRDefault="00626761" w:rsidP="00E1434C">
      <w:pPr>
        <w:widowControl w:val="0"/>
        <w:suppressAutoHyphens/>
        <w:spacing w:after="120" w:line="276" w:lineRule="auto"/>
        <w:rPr>
          <w:rFonts w:ascii="Times New Roman" w:eastAsia="SimSun" w:hAnsi="Times New Roman" w:cs="Mangal"/>
          <w:b/>
          <w:kern w:val="1"/>
          <w:sz w:val="24"/>
          <w:szCs w:val="24"/>
          <w:lang w:eastAsia="hi-IN" w:bidi="hi-IN"/>
        </w:rPr>
      </w:pPr>
    </w:p>
    <w:p w14:paraId="1CF5F977" w14:textId="1130E1B9" w:rsidR="00E1434C" w:rsidRDefault="00E1434C" w:rsidP="00E1434C">
      <w:pPr>
        <w:widowControl w:val="0"/>
        <w:suppressAutoHyphens/>
        <w:spacing w:after="120" w:line="276" w:lineRule="auto"/>
        <w:rPr>
          <w:rFonts w:ascii="Times New Roman" w:eastAsia="SimSun" w:hAnsi="Times New Roman" w:cs="Mangal"/>
          <w:b/>
          <w:kern w:val="1"/>
          <w:sz w:val="24"/>
          <w:szCs w:val="24"/>
          <w:lang w:eastAsia="hi-IN" w:bidi="hi-IN"/>
        </w:rPr>
      </w:pPr>
      <w:r>
        <w:rPr>
          <w:rFonts w:ascii="Times New Roman" w:eastAsia="SimSun" w:hAnsi="Times New Roman" w:cs="Mangal"/>
          <w:b/>
          <w:kern w:val="1"/>
          <w:sz w:val="24"/>
          <w:szCs w:val="24"/>
          <w:lang w:eastAsia="hi-IN" w:bidi="hi-IN"/>
        </w:rPr>
        <w:lastRenderedPageBreak/>
        <w:t>Figure 1: Percentage of Cases that Cite Transnational Law in Court Opinion, Party Briefs and Amici Briefs per Year.</w:t>
      </w:r>
    </w:p>
    <w:p w14:paraId="23701CA7" w14:textId="77777777" w:rsidR="00E1434C" w:rsidRDefault="00E1434C" w:rsidP="00E1434C">
      <w:pPr>
        <w:widowControl w:val="0"/>
        <w:suppressAutoHyphens/>
        <w:spacing w:after="120" w:line="276" w:lineRule="auto"/>
        <w:rPr>
          <w:rFonts w:ascii="Times New Roman" w:eastAsia="SimSun" w:hAnsi="Times New Roman" w:cs="Mangal"/>
          <w:b/>
          <w:kern w:val="1"/>
          <w:sz w:val="24"/>
          <w:szCs w:val="24"/>
          <w:lang w:eastAsia="hi-IN" w:bidi="hi-IN"/>
        </w:rPr>
      </w:pPr>
    </w:p>
    <w:p w14:paraId="1F080504" w14:textId="77777777" w:rsidR="00E1434C" w:rsidRPr="00E1434C" w:rsidRDefault="00E1434C" w:rsidP="00E1434C">
      <w:pPr>
        <w:widowControl w:val="0"/>
        <w:suppressAutoHyphens/>
        <w:spacing w:after="120" w:line="276" w:lineRule="auto"/>
        <w:rPr>
          <w:rFonts w:ascii="Times New Roman" w:eastAsia="SimSun" w:hAnsi="Times New Roman" w:cs="Mangal"/>
          <w:b/>
          <w:kern w:val="1"/>
          <w:sz w:val="24"/>
          <w:szCs w:val="24"/>
          <w:lang w:eastAsia="hi-IN" w:bidi="hi-IN"/>
        </w:rPr>
      </w:pPr>
      <w:r>
        <w:rPr>
          <w:rFonts w:ascii="Times New Roman" w:eastAsia="SimSun" w:hAnsi="Times New Roman" w:cs="Mangal"/>
          <w:b/>
          <w:noProof/>
          <w:kern w:val="1"/>
          <w:sz w:val="24"/>
          <w:szCs w:val="24"/>
        </w:rPr>
        <w:drawing>
          <wp:inline distT="0" distB="0" distL="0" distR="0" wp14:anchorId="5871B5DD" wp14:editId="1D5AB1EF">
            <wp:extent cx="5029200" cy="3659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icus_Graph.tif"/>
                    <pic:cNvPicPr/>
                  </pic:nvPicPr>
                  <pic:blipFill>
                    <a:blip r:embed="rId8">
                      <a:extLst>
                        <a:ext uri="{28A0092B-C50C-407E-A947-70E740481C1C}">
                          <a14:useLocalDpi xmlns:a14="http://schemas.microsoft.com/office/drawing/2010/main" val="0"/>
                        </a:ext>
                      </a:extLst>
                    </a:blip>
                    <a:stretch>
                      <a:fillRect/>
                    </a:stretch>
                  </pic:blipFill>
                  <pic:spPr>
                    <a:xfrm>
                      <a:off x="0" y="0"/>
                      <a:ext cx="5029200" cy="3659505"/>
                    </a:xfrm>
                    <a:prstGeom prst="rect">
                      <a:avLst/>
                    </a:prstGeom>
                  </pic:spPr>
                </pic:pic>
              </a:graphicData>
            </a:graphic>
          </wp:inline>
        </w:drawing>
      </w:r>
    </w:p>
    <w:p w14:paraId="11B535D6" w14:textId="77777777" w:rsidR="00FE26D9" w:rsidRPr="00A7556F" w:rsidRDefault="00FE26D9" w:rsidP="00A7556F">
      <w:pPr>
        <w:widowControl w:val="0"/>
        <w:suppressAutoHyphens/>
        <w:spacing w:after="120" w:line="276" w:lineRule="auto"/>
        <w:ind w:left="432" w:hanging="432"/>
        <w:rPr>
          <w:rFonts w:ascii="Times New Roman" w:eastAsia="SimSun" w:hAnsi="Times New Roman" w:cs="Mangal"/>
          <w:kern w:val="1"/>
          <w:sz w:val="24"/>
          <w:szCs w:val="24"/>
          <w:lang w:eastAsia="hi-IN" w:bidi="hi-IN"/>
        </w:rPr>
      </w:pPr>
    </w:p>
    <w:p w14:paraId="6FDEFBE0" w14:textId="77777777" w:rsidR="00A7556F" w:rsidRPr="00A7556F" w:rsidRDefault="00A7556F" w:rsidP="00975189">
      <w:pPr>
        <w:spacing w:line="480" w:lineRule="auto"/>
        <w:rPr>
          <w:rFonts w:ascii="Times New Roman" w:hAnsi="Times New Roman" w:cs="Times New Roman"/>
          <w:sz w:val="24"/>
          <w:szCs w:val="24"/>
        </w:rPr>
      </w:pPr>
    </w:p>
    <w:sectPr w:rsidR="00A7556F" w:rsidRPr="00A7556F" w:rsidSect="0062676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A6C17" w14:textId="77777777" w:rsidR="008254A5" w:rsidRDefault="008254A5" w:rsidP="006E7B01">
      <w:pPr>
        <w:spacing w:after="0" w:line="240" w:lineRule="auto"/>
      </w:pPr>
      <w:r>
        <w:separator/>
      </w:r>
    </w:p>
  </w:endnote>
  <w:endnote w:type="continuationSeparator" w:id="0">
    <w:p w14:paraId="0AA8BE0C" w14:textId="77777777" w:rsidR="008254A5" w:rsidRDefault="008254A5" w:rsidP="006E7B01">
      <w:pPr>
        <w:spacing w:after="0" w:line="240" w:lineRule="auto"/>
      </w:pPr>
      <w:r>
        <w:continuationSeparator/>
      </w:r>
    </w:p>
  </w:endnote>
  <w:endnote w:id="1">
    <w:p w14:paraId="35DA7F9A" w14:textId="77777777" w:rsidR="000D38F9" w:rsidRPr="000D38F9" w:rsidRDefault="000D38F9" w:rsidP="000D38F9">
      <w:pPr>
        <w:pStyle w:val="EndnoteText"/>
        <w:spacing w:line="480" w:lineRule="auto"/>
        <w:rPr>
          <w:rFonts w:ascii="Times New Roman" w:hAnsi="Times New Roman" w:cs="Times New Roman"/>
          <w:sz w:val="24"/>
          <w:szCs w:val="24"/>
        </w:rPr>
      </w:pPr>
      <w:r w:rsidRPr="000D38F9">
        <w:rPr>
          <w:rStyle w:val="EndnoteReference"/>
          <w:rFonts w:ascii="Times New Roman" w:hAnsi="Times New Roman" w:cs="Times New Roman"/>
          <w:sz w:val="24"/>
          <w:szCs w:val="24"/>
        </w:rPr>
        <w:endnoteRef/>
      </w:r>
      <w:r w:rsidRPr="000D38F9">
        <w:rPr>
          <w:rFonts w:ascii="Times New Roman" w:hAnsi="Times New Roman" w:cs="Times New Roman"/>
          <w:sz w:val="24"/>
          <w:szCs w:val="24"/>
        </w:rPr>
        <w:t xml:space="preserve"> These were mostly cases where the Court decided that a writ of certiorari was improperly granted, and cases getting to the Court under its original jurisdiction.</w:t>
      </w:r>
    </w:p>
  </w:endnote>
  <w:endnote w:id="2">
    <w:p w14:paraId="1A5E18E1" w14:textId="77777777" w:rsidR="000D38F9" w:rsidRPr="000D38F9" w:rsidRDefault="000D38F9" w:rsidP="000D38F9">
      <w:pPr>
        <w:pStyle w:val="EndnoteText"/>
        <w:spacing w:line="480" w:lineRule="auto"/>
        <w:rPr>
          <w:rFonts w:ascii="Times New Roman" w:hAnsi="Times New Roman" w:cs="Times New Roman"/>
          <w:sz w:val="24"/>
          <w:szCs w:val="24"/>
        </w:rPr>
      </w:pPr>
      <w:r w:rsidRPr="000D38F9">
        <w:rPr>
          <w:rStyle w:val="EndnoteReference"/>
          <w:rFonts w:ascii="Times New Roman" w:hAnsi="Times New Roman" w:cs="Times New Roman"/>
          <w:sz w:val="24"/>
          <w:szCs w:val="24"/>
        </w:rPr>
        <w:endnoteRef/>
      </w:r>
      <w:r w:rsidRPr="000D38F9">
        <w:rPr>
          <w:rFonts w:ascii="Times New Roman" w:hAnsi="Times New Roman" w:cs="Times New Roman"/>
          <w:sz w:val="24"/>
          <w:szCs w:val="24"/>
        </w:rPr>
        <w:t xml:space="preserve"> See Appendix for a table that shows the occurrence of transnational citations per year in Supreme Court opinions, parties’ </w:t>
      </w:r>
      <w:proofErr w:type="gramStart"/>
      <w:r w:rsidRPr="000D38F9">
        <w:rPr>
          <w:rFonts w:ascii="Times New Roman" w:hAnsi="Times New Roman" w:cs="Times New Roman"/>
          <w:sz w:val="24"/>
          <w:szCs w:val="24"/>
        </w:rPr>
        <w:t>briefs</w:t>
      </w:r>
      <w:proofErr w:type="gramEnd"/>
      <w:r w:rsidRPr="000D38F9">
        <w:rPr>
          <w:rFonts w:ascii="Times New Roman" w:hAnsi="Times New Roman" w:cs="Times New Roman"/>
          <w:sz w:val="24"/>
          <w:szCs w:val="24"/>
        </w:rPr>
        <w:t xml:space="preserve"> and amici briefs.</w:t>
      </w:r>
    </w:p>
  </w:endnote>
  <w:endnote w:id="3">
    <w:p w14:paraId="26ED32BA" w14:textId="77777777" w:rsidR="000D38F9" w:rsidRPr="000D38F9" w:rsidRDefault="000D38F9" w:rsidP="000D38F9">
      <w:pPr>
        <w:pStyle w:val="EndnoteText"/>
        <w:spacing w:line="480" w:lineRule="auto"/>
        <w:rPr>
          <w:rFonts w:ascii="Times New Roman" w:hAnsi="Times New Roman" w:cs="Times New Roman"/>
          <w:sz w:val="24"/>
          <w:szCs w:val="24"/>
        </w:rPr>
      </w:pPr>
      <w:r w:rsidRPr="000D38F9">
        <w:rPr>
          <w:rStyle w:val="EndnoteReference"/>
          <w:rFonts w:ascii="Times New Roman" w:hAnsi="Times New Roman" w:cs="Times New Roman"/>
          <w:sz w:val="24"/>
          <w:szCs w:val="24"/>
        </w:rPr>
        <w:endnoteRef/>
      </w:r>
      <w:r w:rsidRPr="000D38F9">
        <w:rPr>
          <w:rFonts w:ascii="Times New Roman" w:hAnsi="Times New Roman" w:cs="Times New Roman"/>
          <w:sz w:val="24"/>
          <w:szCs w:val="24"/>
        </w:rPr>
        <w:t xml:space="preserve"> 95% confidence intervals: 0.08, 0.23.</w:t>
      </w:r>
    </w:p>
  </w:endnote>
  <w:endnote w:id="4">
    <w:p w14:paraId="74BFCBE1" w14:textId="77777777" w:rsidR="000D38F9" w:rsidRPr="000D38F9" w:rsidRDefault="000D38F9" w:rsidP="000D38F9">
      <w:pPr>
        <w:pStyle w:val="EndnoteText"/>
        <w:spacing w:line="480" w:lineRule="auto"/>
        <w:rPr>
          <w:rFonts w:ascii="Times New Roman" w:hAnsi="Times New Roman" w:cs="Times New Roman"/>
          <w:sz w:val="24"/>
          <w:szCs w:val="24"/>
        </w:rPr>
      </w:pPr>
      <w:r w:rsidRPr="000D38F9">
        <w:rPr>
          <w:rStyle w:val="EndnoteReference"/>
          <w:rFonts w:ascii="Times New Roman" w:hAnsi="Times New Roman" w:cs="Times New Roman"/>
          <w:sz w:val="24"/>
          <w:szCs w:val="24"/>
        </w:rPr>
        <w:endnoteRef/>
      </w:r>
      <w:r w:rsidRPr="000D38F9">
        <w:rPr>
          <w:rFonts w:ascii="Times New Roman" w:hAnsi="Times New Roman" w:cs="Times New Roman"/>
          <w:sz w:val="24"/>
          <w:szCs w:val="24"/>
        </w:rPr>
        <w:t xml:space="preserve"> 95% confidence intervals: 0.01, 0.02.</w:t>
      </w:r>
    </w:p>
  </w:endnote>
  <w:endnote w:id="5">
    <w:p w14:paraId="7CFD6D6C" w14:textId="77777777" w:rsidR="000D38F9" w:rsidRPr="000D38F9" w:rsidRDefault="000D38F9" w:rsidP="000D38F9">
      <w:pPr>
        <w:pStyle w:val="EndnoteText"/>
        <w:spacing w:line="480" w:lineRule="auto"/>
        <w:rPr>
          <w:rFonts w:ascii="Times New Roman" w:hAnsi="Times New Roman" w:cs="Times New Roman"/>
          <w:sz w:val="24"/>
          <w:szCs w:val="24"/>
        </w:rPr>
      </w:pPr>
      <w:r w:rsidRPr="000D38F9">
        <w:rPr>
          <w:rStyle w:val="EndnoteReference"/>
          <w:rFonts w:ascii="Times New Roman" w:hAnsi="Times New Roman" w:cs="Times New Roman"/>
          <w:sz w:val="24"/>
          <w:szCs w:val="24"/>
        </w:rPr>
        <w:endnoteRef/>
      </w:r>
      <w:r w:rsidRPr="000D38F9">
        <w:rPr>
          <w:rFonts w:ascii="Times New Roman" w:hAnsi="Times New Roman" w:cs="Times New Roman"/>
          <w:sz w:val="24"/>
          <w:szCs w:val="24"/>
        </w:rPr>
        <w:t xml:space="preserve"> 95% confidence intervals: 0.02, 0.08 and 0.03. 0.09.</w:t>
      </w:r>
    </w:p>
  </w:endnote>
  <w:endnote w:id="6">
    <w:p w14:paraId="215BBDA6" w14:textId="77777777" w:rsidR="000D38F9" w:rsidRPr="000D38F9" w:rsidRDefault="000D38F9" w:rsidP="000D38F9">
      <w:pPr>
        <w:pStyle w:val="EndnoteText"/>
        <w:spacing w:line="480" w:lineRule="auto"/>
        <w:rPr>
          <w:rFonts w:ascii="Times New Roman" w:hAnsi="Times New Roman" w:cs="Times New Roman"/>
          <w:sz w:val="24"/>
          <w:szCs w:val="24"/>
        </w:rPr>
      </w:pPr>
      <w:r w:rsidRPr="000D38F9">
        <w:rPr>
          <w:rStyle w:val="EndnoteReference"/>
          <w:rFonts w:ascii="Times New Roman" w:hAnsi="Times New Roman" w:cs="Times New Roman"/>
          <w:sz w:val="24"/>
          <w:szCs w:val="24"/>
        </w:rPr>
        <w:endnoteRef/>
      </w:r>
      <w:r w:rsidRPr="000D38F9">
        <w:rPr>
          <w:rFonts w:ascii="Times New Roman" w:hAnsi="Times New Roman" w:cs="Times New Roman"/>
          <w:sz w:val="24"/>
          <w:szCs w:val="24"/>
        </w:rPr>
        <w:t xml:space="preserve"> 95% confidence intervals: 0.18, 0.66 and 0.01, 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586671"/>
      <w:docPartObj>
        <w:docPartGallery w:val="Page Numbers (Bottom of Page)"/>
        <w:docPartUnique/>
      </w:docPartObj>
    </w:sdtPr>
    <w:sdtEndPr>
      <w:rPr>
        <w:rFonts w:ascii="Times New Roman" w:hAnsi="Times New Roman" w:cs="Times New Roman"/>
        <w:noProof/>
      </w:rPr>
    </w:sdtEndPr>
    <w:sdtContent>
      <w:p w14:paraId="3CF1D92D" w14:textId="754D1CB3" w:rsidR="00274774" w:rsidRPr="002A2CB7" w:rsidRDefault="00274774">
        <w:pPr>
          <w:pStyle w:val="Footer"/>
          <w:jc w:val="center"/>
          <w:rPr>
            <w:rFonts w:ascii="Times New Roman" w:hAnsi="Times New Roman" w:cs="Times New Roman"/>
          </w:rPr>
        </w:pPr>
        <w:r w:rsidRPr="002A2CB7">
          <w:rPr>
            <w:rFonts w:ascii="Times New Roman" w:hAnsi="Times New Roman" w:cs="Times New Roman"/>
          </w:rPr>
          <w:fldChar w:fldCharType="begin"/>
        </w:r>
        <w:r w:rsidRPr="002A2CB7">
          <w:rPr>
            <w:rFonts w:ascii="Times New Roman" w:hAnsi="Times New Roman" w:cs="Times New Roman"/>
          </w:rPr>
          <w:instrText xml:space="preserve"> PAGE   \* MERGEFORMAT </w:instrText>
        </w:r>
        <w:r w:rsidRPr="002A2CB7">
          <w:rPr>
            <w:rFonts w:ascii="Times New Roman" w:hAnsi="Times New Roman" w:cs="Times New Roman"/>
          </w:rPr>
          <w:fldChar w:fldCharType="separate"/>
        </w:r>
        <w:r w:rsidR="00C07029">
          <w:rPr>
            <w:rFonts w:ascii="Times New Roman" w:hAnsi="Times New Roman" w:cs="Times New Roman"/>
            <w:noProof/>
          </w:rPr>
          <w:t>25</w:t>
        </w:r>
        <w:r w:rsidRPr="002A2CB7">
          <w:rPr>
            <w:rFonts w:ascii="Times New Roman" w:hAnsi="Times New Roman" w:cs="Times New Roman"/>
            <w:noProof/>
          </w:rPr>
          <w:fldChar w:fldCharType="end"/>
        </w:r>
      </w:p>
    </w:sdtContent>
  </w:sdt>
  <w:p w14:paraId="252579C7" w14:textId="77777777" w:rsidR="00274774" w:rsidRDefault="00274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8A40D" w14:textId="77777777" w:rsidR="008254A5" w:rsidRDefault="008254A5" w:rsidP="006E7B01">
      <w:pPr>
        <w:spacing w:after="0" w:line="240" w:lineRule="auto"/>
      </w:pPr>
      <w:r>
        <w:separator/>
      </w:r>
    </w:p>
  </w:footnote>
  <w:footnote w:type="continuationSeparator" w:id="0">
    <w:p w14:paraId="4CA83A7D" w14:textId="77777777" w:rsidR="008254A5" w:rsidRDefault="008254A5" w:rsidP="006E7B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52A"/>
    <w:rsid w:val="00030D74"/>
    <w:rsid w:val="00042587"/>
    <w:rsid w:val="000804CD"/>
    <w:rsid w:val="000D38F9"/>
    <w:rsid w:val="000D5A8C"/>
    <w:rsid w:val="000F1979"/>
    <w:rsid w:val="00140C63"/>
    <w:rsid w:val="0017331A"/>
    <w:rsid w:val="001A4302"/>
    <w:rsid w:val="001D080F"/>
    <w:rsid w:val="001E031B"/>
    <w:rsid w:val="00203AAF"/>
    <w:rsid w:val="00220355"/>
    <w:rsid w:val="00223F33"/>
    <w:rsid w:val="0023074B"/>
    <w:rsid w:val="00274774"/>
    <w:rsid w:val="002A2CB7"/>
    <w:rsid w:val="002A74A5"/>
    <w:rsid w:val="002B19E7"/>
    <w:rsid w:val="002E3298"/>
    <w:rsid w:val="002F0898"/>
    <w:rsid w:val="003675F3"/>
    <w:rsid w:val="0038114F"/>
    <w:rsid w:val="003E4792"/>
    <w:rsid w:val="00435150"/>
    <w:rsid w:val="00436E9E"/>
    <w:rsid w:val="00457F40"/>
    <w:rsid w:val="00466083"/>
    <w:rsid w:val="004A06F7"/>
    <w:rsid w:val="0050654B"/>
    <w:rsid w:val="005360CF"/>
    <w:rsid w:val="00551FF2"/>
    <w:rsid w:val="005A0040"/>
    <w:rsid w:val="005C43B5"/>
    <w:rsid w:val="00626761"/>
    <w:rsid w:val="00663208"/>
    <w:rsid w:val="0066587A"/>
    <w:rsid w:val="006E7B01"/>
    <w:rsid w:val="007218DF"/>
    <w:rsid w:val="0074185C"/>
    <w:rsid w:val="0075592A"/>
    <w:rsid w:val="008254A5"/>
    <w:rsid w:val="00844D5E"/>
    <w:rsid w:val="008736C7"/>
    <w:rsid w:val="008B1E49"/>
    <w:rsid w:val="008C31FF"/>
    <w:rsid w:val="008C3C73"/>
    <w:rsid w:val="008C4F27"/>
    <w:rsid w:val="008F745F"/>
    <w:rsid w:val="00901BD6"/>
    <w:rsid w:val="0091350D"/>
    <w:rsid w:val="009251C4"/>
    <w:rsid w:val="00953E31"/>
    <w:rsid w:val="00975189"/>
    <w:rsid w:val="009A5425"/>
    <w:rsid w:val="009A69C7"/>
    <w:rsid w:val="009C4838"/>
    <w:rsid w:val="009D31AF"/>
    <w:rsid w:val="009E19EC"/>
    <w:rsid w:val="00A133D5"/>
    <w:rsid w:val="00A31EB9"/>
    <w:rsid w:val="00A36A35"/>
    <w:rsid w:val="00A65E06"/>
    <w:rsid w:val="00A7556F"/>
    <w:rsid w:val="00AC0399"/>
    <w:rsid w:val="00AE02B9"/>
    <w:rsid w:val="00B00BC7"/>
    <w:rsid w:val="00B11FEA"/>
    <w:rsid w:val="00B272DB"/>
    <w:rsid w:val="00B405A0"/>
    <w:rsid w:val="00B65F7C"/>
    <w:rsid w:val="00B920B3"/>
    <w:rsid w:val="00BC361B"/>
    <w:rsid w:val="00BD0188"/>
    <w:rsid w:val="00BD5C4F"/>
    <w:rsid w:val="00BF7C83"/>
    <w:rsid w:val="00C02057"/>
    <w:rsid w:val="00C07029"/>
    <w:rsid w:val="00C11EB5"/>
    <w:rsid w:val="00C26D2C"/>
    <w:rsid w:val="00C35408"/>
    <w:rsid w:val="00C546B4"/>
    <w:rsid w:val="00C60E20"/>
    <w:rsid w:val="00CC6FFC"/>
    <w:rsid w:val="00CD06D5"/>
    <w:rsid w:val="00CD7DE7"/>
    <w:rsid w:val="00CE33CB"/>
    <w:rsid w:val="00D63BFC"/>
    <w:rsid w:val="00D703E0"/>
    <w:rsid w:val="00D80FE6"/>
    <w:rsid w:val="00D90642"/>
    <w:rsid w:val="00DB0C16"/>
    <w:rsid w:val="00DC7B33"/>
    <w:rsid w:val="00DD6A18"/>
    <w:rsid w:val="00DD6C1E"/>
    <w:rsid w:val="00E1434C"/>
    <w:rsid w:val="00E22C6D"/>
    <w:rsid w:val="00E42A0E"/>
    <w:rsid w:val="00E863CB"/>
    <w:rsid w:val="00E87AAF"/>
    <w:rsid w:val="00E9141E"/>
    <w:rsid w:val="00EC4996"/>
    <w:rsid w:val="00EF5363"/>
    <w:rsid w:val="00F13EA2"/>
    <w:rsid w:val="00F5452A"/>
    <w:rsid w:val="00F93036"/>
    <w:rsid w:val="00FA7519"/>
    <w:rsid w:val="00FD7C0B"/>
    <w:rsid w:val="00FE26D9"/>
    <w:rsid w:val="00FF6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8F27B"/>
  <w15:chartTrackingRefBased/>
  <w15:docId w15:val="{3870C592-C894-47CE-94D3-DCBD5057B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52A"/>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B01"/>
    <w:rPr>
      <w:rFonts w:asciiTheme="minorHAnsi" w:hAnsiTheme="minorHAnsi" w:cstheme="minorBidi"/>
      <w:sz w:val="22"/>
      <w:szCs w:val="22"/>
    </w:rPr>
  </w:style>
  <w:style w:type="paragraph" w:styleId="Footer">
    <w:name w:val="footer"/>
    <w:basedOn w:val="Normal"/>
    <w:link w:val="FooterChar"/>
    <w:uiPriority w:val="99"/>
    <w:unhideWhenUsed/>
    <w:rsid w:val="006E7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B01"/>
    <w:rPr>
      <w:rFonts w:asciiTheme="minorHAnsi" w:hAnsiTheme="minorHAnsi" w:cstheme="minorBidi"/>
      <w:sz w:val="22"/>
      <w:szCs w:val="22"/>
    </w:rPr>
  </w:style>
  <w:style w:type="character" w:styleId="Hyperlink">
    <w:name w:val="Hyperlink"/>
    <w:basedOn w:val="DefaultParagraphFont"/>
    <w:uiPriority w:val="99"/>
    <w:unhideWhenUsed/>
    <w:rsid w:val="0075592A"/>
    <w:rPr>
      <w:color w:val="0563C1" w:themeColor="hyperlink"/>
      <w:u w:val="single"/>
    </w:rPr>
  </w:style>
  <w:style w:type="paragraph" w:styleId="FootnoteText">
    <w:name w:val="footnote text"/>
    <w:basedOn w:val="Normal"/>
    <w:link w:val="FootnoteTextChar"/>
    <w:uiPriority w:val="99"/>
    <w:semiHidden/>
    <w:unhideWhenUsed/>
    <w:rsid w:val="008C31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1FF"/>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8C31FF"/>
    <w:rPr>
      <w:vertAlign w:val="superscript"/>
    </w:rPr>
  </w:style>
  <w:style w:type="table" w:styleId="TableGrid">
    <w:name w:val="Table Grid"/>
    <w:basedOn w:val="TableNormal"/>
    <w:uiPriority w:val="39"/>
    <w:rsid w:val="00435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D38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38F9"/>
    <w:rPr>
      <w:rFonts w:asciiTheme="minorHAnsi" w:hAnsiTheme="minorHAnsi" w:cstheme="minorBidi"/>
      <w:sz w:val="20"/>
      <w:szCs w:val="20"/>
    </w:rPr>
  </w:style>
  <w:style w:type="character" w:styleId="EndnoteReference">
    <w:name w:val="endnote reference"/>
    <w:basedOn w:val="DefaultParagraphFont"/>
    <w:uiPriority w:val="99"/>
    <w:semiHidden/>
    <w:unhideWhenUsed/>
    <w:rsid w:val="000D38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56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B65AD-F1AA-4059-8462-965D81A1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5185</Words>
  <Characters>29556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 Menounou</dc:creator>
  <cp:keywords/>
  <dc:description/>
  <cp:lastModifiedBy>Elli Menounou</cp:lastModifiedBy>
  <cp:revision>4</cp:revision>
  <dcterms:created xsi:type="dcterms:W3CDTF">2022-03-01T05:59:00Z</dcterms:created>
  <dcterms:modified xsi:type="dcterms:W3CDTF">2022-03-01T06:04:00Z</dcterms:modified>
</cp:coreProperties>
</file>