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26AE0" w14:textId="311B1095" w:rsidR="00D87D1A" w:rsidRDefault="00D87D1A" w:rsidP="00A1163F">
      <w:pPr>
        <w:jc w:val="center"/>
        <w:rPr>
          <w:rFonts w:cs="Arial"/>
          <w:b/>
          <w:sz w:val="32"/>
          <w:szCs w:val="32"/>
        </w:rPr>
      </w:pPr>
      <w:r>
        <w:rPr>
          <w:rFonts w:cs="Arial"/>
          <w:b/>
          <w:sz w:val="32"/>
          <w:szCs w:val="32"/>
        </w:rPr>
        <w:t xml:space="preserve">Gold </w:t>
      </w:r>
      <w:r>
        <w:rPr>
          <w:rFonts w:cs="Arial"/>
          <w:b/>
          <w:i/>
          <w:sz w:val="32"/>
          <w:szCs w:val="32"/>
        </w:rPr>
        <w:t xml:space="preserve">Metal </w:t>
      </w:r>
      <w:r>
        <w:rPr>
          <w:rFonts w:cs="Arial"/>
          <w:b/>
          <w:sz w:val="32"/>
          <w:szCs w:val="32"/>
        </w:rPr>
        <w:t xml:space="preserve">Waters:  </w:t>
      </w:r>
    </w:p>
    <w:p w14:paraId="7657EB9C" w14:textId="77777777" w:rsidR="00D87D1A" w:rsidRPr="00D87D1A" w:rsidRDefault="00D87D1A" w:rsidP="00A1163F">
      <w:pPr>
        <w:jc w:val="center"/>
        <w:rPr>
          <w:rFonts w:cs="Arial"/>
          <w:b/>
          <w:sz w:val="16"/>
          <w:szCs w:val="16"/>
        </w:rPr>
      </w:pPr>
    </w:p>
    <w:p w14:paraId="3F4A89BC" w14:textId="262160FC" w:rsidR="00D87D1A" w:rsidRPr="00D87D1A" w:rsidRDefault="00D87D1A" w:rsidP="00A1163F">
      <w:pPr>
        <w:jc w:val="center"/>
        <w:rPr>
          <w:rFonts w:cs="Arial"/>
          <w:b/>
          <w:sz w:val="32"/>
          <w:szCs w:val="32"/>
        </w:rPr>
      </w:pPr>
      <w:r>
        <w:rPr>
          <w:rFonts w:cs="Arial"/>
          <w:b/>
          <w:sz w:val="32"/>
          <w:szCs w:val="32"/>
        </w:rPr>
        <w:t>Lessons Learned from the 2015 Gold King Mine Spill</w:t>
      </w:r>
    </w:p>
    <w:p w14:paraId="7D20AB0F" w14:textId="77777777" w:rsidR="00D87D1A" w:rsidRDefault="00D87D1A" w:rsidP="00A1163F">
      <w:pPr>
        <w:jc w:val="center"/>
        <w:rPr>
          <w:rFonts w:cs="Arial"/>
          <w:b/>
          <w:sz w:val="20"/>
          <w:szCs w:val="20"/>
        </w:rPr>
      </w:pPr>
    </w:p>
    <w:p w14:paraId="24CC7FF8" w14:textId="77777777" w:rsidR="00D87D1A" w:rsidRDefault="00D87D1A" w:rsidP="00A1163F">
      <w:pPr>
        <w:jc w:val="center"/>
        <w:rPr>
          <w:rFonts w:cs="Arial"/>
          <w:b/>
          <w:sz w:val="20"/>
          <w:szCs w:val="20"/>
        </w:rPr>
      </w:pPr>
    </w:p>
    <w:p w14:paraId="05043453" w14:textId="77777777" w:rsidR="00D87D1A" w:rsidRDefault="00D87D1A" w:rsidP="00A1163F">
      <w:pPr>
        <w:jc w:val="center"/>
        <w:rPr>
          <w:rFonts w:cs="Arial"/>
          <w:b/>
          <w:sz w:val="20"/>
          <w:szCs w:val="20"/>
        </w:rPr>
      </w:pPr>
    </w:p>
    <w:p w14:paraId="03B0EE1B" w14:textId="77777777" w:rsidR="00D87D1A" w:rsidRDefault="00D87D1A" w:rsidP="00A1163F">
      <w:pPr>
        <w:jc w:val="center"/>
        <w:rPr>
          <w:rFonts w:cs="Arial"/>
          <w:b/>
          <w:sz w:val="20"/>
          <w:szCs w:val="20"/>
        </w:rPr>
      </w:pPr>
    </w:p>
    <w:p w14:paraId="04811F30" w14:textId="77777777" w:rsidR="00D87D1A" w:rsidRDefault="00D87D1A" w:rsidP="00A1163F">
      <w:pPr>
        <w:jc w:val="center"/>
        <w:rPr>
          <w:rFonts w:cs="Arial"/>
          <w:b/>
          <w:sz w:val="20"/>
          <w:szCs w:val="20"/>
        </w:rPr>
      </w:pPr>
    </w:p>
    <w:p w14:paraId="618F044F" w14:textId="77777777" w:rsidR="00D87D1A" w:rsidRDefault="00D87D1A" w:rsidP="00A1163F">
      <w:pPr>
        <w:jc w:val="center"/>
        <w:rPr>
          <w:rFonts w:cs="Arial"/>
          <w:b/>
          <w:sz w:val="20"/>
          <w:szCs w:val="20"/>
        </w:rPr>
      </w:pPr>
    </w:p>
    <w:p w14:paraId="02D30404" w14:textId="77777777" w:rsidR="00D87D1A" w:rsidRDefault="00D87D1A" w:rsidP="00D87D1A">
      <w:pPr>
        <w:rPr>
          <w:rFonts w:cs="Arial"/>
          <w:b/>
          <w:sz w:val="20"/>
          <w:szCs w:val="20"/>
        </w:rPr>
      </w:pPr>
    </w:p>
    <w:p w14:paraId="63DB740F" w14:textId="77777777" w:rsidR="00D87D1A" w:rsidRDefault="00D87D1A" w:rsidP="00A1163F">
      <w:pPr>
        <w:jc w:val="center"/>
        <w:rPr>
          <w:rFonts w:cs="Arial"/>
          <w:b/>
          <w:sz w:val="20"/>
          <w:szCs w:val="20"/>
        </w:rPr>
      </w:pPr>
    </w:p>
    <w:p w14:paraId="1B104DD0" w14:textId="77777777" w:rsidR="00D87D1A" w:rsidRPr="007E5850" w:rsidRDefault="00D87D1A" w:rsidP="00D87D1A">
      <w:pPr>
        <w:pStyle w:val="NoSpacing"/>
        <w:jc w:val="center"/>
      </w:pPr>
      <w:r w:rsidRPr="007E5850">
        <w:t>Bradley T. Clark, Ph.D.</w:t>
      </w:r>
    </w:p>
    <w:p w14:paraId="5B85D411" w14:textId="77777777" w:rsidR="00D87D1A" w:rsidRPr="007E5850" w:rsidRDefault="00D87D1A" w:rsidP="00D87D1A">
      <w:pPr>
        <w:pStyle w:val="NoSpacing"/>
        <w:jc w:val="center"/>
      </w:pPr>
    </w:p>
    <w:p w14:paraId="38257029" w14:textId="77777777" w:rsidR="00D87D1A" w:rsidRPr="007E5850" w:rsidRDefault="00D87D1A" w:rsidP="00D87D1A">
      <w:pPr>
        <w:pStyle w:val="NoSpacing"/>
        <w:jc w:val="center"/>
      </w:pPr>
      <w:r w:rsidRPr="007E5850">
        <w:t>Associate Professor</w:t>
      </w:r>
    </w:p>
    <w:p w14:paraId="0F4CA286" w14:textId="77777777" w:rsidR="00D87D1A" w:rsidRPr="007E5850" w:rsidRDefault="00D87D1A" w:rsidP="00D87D1A">
      <w:pPr>
        <w:pStyle w:val="NoSpacing"/>
        <w:jc w:val="center"/>
      </w:pPr>
      <w:r w:rsidRPr="007E5850">
        <w:t>Fort Lewis College</w:t>
      </w:r>
    </w:p>
    <w:p w14:paraId="0A03A90D" w14:textId="77777777" w:rsidR="00D87D1A" w:rsidRPr="007E5850" w:rsidRDefault="00D87D1A" w:rsidP="00D87D1A">
      <w:pPr>
        <w:pStyle w:val="NoSpacing"/>
        <w:jc w:val="center"/>
      </w:pPr>
      <w:r w:rsidRPr="007E5850">
        <w:t>Department of Political Science</w:t>
      </w:r>
    </w:p>
    <w:p w14:paraId="49791E4E" w14:textId="60783390" w:rsidR="00D87D1A" w:rsidRPr="007E5850" w:rsidRDefault="00D87D1A" w:rsidP="00D87D1A">
      <w:pPr>
        <w:pStyle w:val="NoSpacing"/>
        <w:jc w:val="center"/>
      </w:pPr>
      <w:r w:rsidRPr="007E5850">
        <w:t>Faculty</w:t>
      </w:r>
      <w:r>
        <w:t xml:space="preserve"> Affiliate</w:t>
      </w:r>
      <w:r w:rsidRPr="007E5850">
        <w:t xml:space="preserve">, </w:t>
      </w:r>
      <w:r>
        <w:t>Department of Environmental Studies</w:t>
      </w:r>
    </w:p>
    <w:p w14:paraId="468C7439" w14:textId="77777777" w:rsidR="00D87D1A" w:rsidRPr="007E5850" w:rsidRDefault="00D87D1A" w:rsidP="00D87D1A">
      <w:pPr>
        <w:pStyle w:val="NoSpacing"/>
        <w:jc w:val="center"/>
      </w:pPr>
      <w:r w:rsidRPr="007E5850">
        <w:t>Durango, CO  81301</w:t>
      </w:r>
    </w:p>
    <w:p w14:paraId="1553790A" w14:textId="77777777" w:rsidR="00D87D1A" w:rsidRPr="007E5850" w:rsidRDefault="00D87D1A" w:rsidP="00D87D1A">
      <w:pPr>
        <w:pStyle w:val="NoSpacing"/>
        <w:jc w:val="center"/>
        <w:rPr>
          <w:u w:val="single"/>
        </w:rPr>
      </w:pPr>
      <w:r w:rsidRPr="007E5850">
        <w:rPr>
          <w:u w:val="single"/>
        </w:rPr>
        <w:t>clark_b@fortlewis.edu</w:t>
      </w:r>
    </w:p>
    <w:p w14:paraId="3E572F4D" w14:textId="77777777" w:rsidR="00D87D1A" w:rsidRPr="007E5850" w:rsidRDefault="00D87D1A" w:rsidP="00D87D1A">
      <w:pPr>
        <w:jc w:val="center"/>
      </w:pPr>
    </w:p>
    <w:p w14:paraId="31BE7F6E" w14:textId="77777777" w:rsidR="00D87D1A" w:rsidRPr="007E5850" w:rsidRDefault="00D87D1A" w:rsidP="00D87D1A">
      <w:pPr>
        <w:jc w:val="center"/>
      </w:pPr>
    </w:p>
    <w:p w14:paraId="742B6C5C" w14:textId="77777777" w:rsidR="00D87D1A" w:rsidRPr="007E5850" w:rsidRDefault="00D87D1A" w:rsidP="00D87D1A">
      <w:pPr>
        <w:jc w:val="center"/>
      </w:pPr>
    </w:p>
    <w:p w14:paraId="40E8F79D" w14:textId="77777777" w:rsidR="00D87D1A" w:rsidRPr="007E5850" w:rsidRDefault="00D87D1A" w:rsidP="00D87D1A">
      <w:pPr>
        <w:jc w:val="center"/>
      </w:pPr>
    </w:p>
    <w:p w14:paraId="447014FB" w14:textId="77777777" w:rsidR="00D87D1A" w:rsidRPr="007E5850" w:rsidRDefault="00D87D1A" w:rsidP="00D87D1A">
      <w:pPr>
        <w:jc w:val="center"/>
      </w:pPr>
    </w:p>
    <w:p w14:paraId="1AE1BDF3" w14:textId="77777777" w:rsidR="00D87D1A" w:rsidRPr="007E5850" w:rsidRDefault="00D87D1A" w:rsidP="00D87D1A">
      <w:pPr>
        <w:jc w:val="center"/>
      </w:pPr>
    </w:p>
    <w:p w14:paraId="6140C1CE" w14:textId="77777777" w:rsidR="00D87D1A" w:rsidRPr="007E5850" w:rsidRDefault="00D87D1A" w:rsidP="00D87D1A">
      <w:pPr>
        <w:jc w:val="center"/>
      </w:pPr>
    </w:p>
    <w:p w14:paraId="0C57F453" w14:textId="77777777" w:rsidR="00D87D1A" w:rsidRPr="007E5850" w:rsidRDefault="00D87D1A" w:rsidP="00D87D1A">
      <w:pPr>
        <w:jc w:val="center"/>
      </w:pPr>
    </w:p>
    <w:p w14:paraId="2544CAA1" w14:textId="77777777" w:rsidR="00D87D1A" w:rsidRPr="007E5850" w:rsidRDefault="00D87D1A" w:rsidP="00D87D1A">
      <w:pPr>
        <w:jc w:val="center"/>
      </w:pPr>
    </w:p>
    <w:p w14:paraId="5B1E37FC" w14:textId="77777777" w:rsidR="00D87D1A" w:rsidRPr="007E5850" w:rsidRDefault="00D87D1A" w:rsidP="00D87D1A"/>
    <w:p w14:paraId="1B391098" w14:textId="77777777" w:rsidR="00D87D1A" w:rsidRDefault="00D87D1A" w:rsidP="00D87D1A"/>
    <w:p w14:paraId="773E5961" w14:textId="77777777" w:rsidR="00D87D1A" w:rsidRDefault="00D87D1A" w:rsidP="00D87D1A">
      <w:pPr>
        <w:jc w:val="center"/>
      </w:pPr>
    </w:p>
    <w:p w14:paraId="2DF7C6FD" w14:textId="5DA06BCF" w:rsidR="00D87D1A" w:rsidRDefault="00D87D1A" w:rsidP="00D87D1A">
      <w:pPr>
        <w:jc w:val="center"/>
      </w:pPr>
    </w:p>
    <w:p w14:paraId="6E54C322" w14:textId="44CECE83" w:rsidR="00EE2D1F" w:rsidRDefault="00EE2D1F" w:rsidP="00D87D1A">
      <w:pPr>
        <w:jc w:val="center"/>
      </w:pPr>
    </w:p>
    <w:p w14:paraId="4CD54571" w14:textId="2CD5CF54" w:rsidR="00EE2D1F" w:rsidRDefault="00EE2D1F" w:rsidP="00D87D1A">
      <w:pPr>
        <w:jc w:val="center"/>
      </w:pPr>
    </w:p>
    <w:p w14:paraId="3E787077" w14:textId="77777777" w:rsidR="00EE2D1F" w:rsidRPr="007E5850" w:rsidRDefault="00EE2D1F" w:rsidP="00D87D1A">
      <w:pPr>
        <w:jc w:val="center"/>
      </w:pPr>
    </w:p>
    <w:p w14:paraId="1599AF5B" w14:textId="77777777" w:rsidR="00D87D1A" w:rsidRPr="007E5850" w:rsidRDefault="00D87D1A" w:rsidP="00D87D1A">
      <w:pPr>
        <w:jc w:val="center"/>
      </w:pPr>
    </w:p>
    <w:p w14:paraId="43E8E88F" w14:textId="7C0B6EA3" w:rsidR="00D87D1A" w:rsidRPr="007E5850" w:rsidRDefault="00D87D1A" w:rsidP="00D87D1A">
      <w:pPr>
        <w:jc w:val="center"/>
      </w:pPr>
      <w:r w:rsidRPr="007E5850">
        <w:t>Paper presented at the 201</w:t>
      </w:r>
      <w:r w:rsidR="00EE2D1F">
        <w:t>9</w:t>
      </w:r>
      <w:r w:rsidRPr="007E5850">
        <w:t xml:space="preserve"> Annual Meeting of the Western Political Science Association, San Diego, CA – </w:t>
      </w:r>
      <w:r w:rsidR="00EE2D1F">
        <w:t>April</w:t>
      </w:r>
      <w:r w:rsidRPr="007E5850">
        <w:t xml:space="preserve"> </w:t>
      </w:r>
      <w:r w:rsidR="00EE2D1F">
        <w:t>18-20</w:t>
      </w:r>
      <w:r w:rsidRPr="007E5850">
        <w:t>, 201</w:t>
      </w:r>
      <w:r w:rsidR="00EE2D1F">
        <w:t>9</w:t>
      </w:r>
      <w:r w:rsidRPr="007E5850">
        <w:t>.</w:t>
      </w:r>
    </w:p>
    <w:p w14:paraId="592EA01F" w14:textId="77777777" w:rsidR="00D87D1A" w:rsidRPr="007E5850" w:rsidRDefault="00D87D1A" w:rsidP="00D87D1A">
      <w:pPr>
        <w:jc w:val="center"/>
      </w:pPr>
    </w:p>
    <w:p w14:paraId="6CC1ADDC" w14:textId="77777777" w:rsidR="00D87D1A" w:rsidRPr="007E5850" w:rsidRDefault="00D87D1A" w:rsidP="00D87D1A">
      <w:pPr>
        <w:jc w:val="center"/>
        <w:rPr>
          <w:b/>
        </w:rPr>
      </w:pPr>
    </w:p>
    <w:p w14:paraId="5D37C0A3" w14:textId="77777777" w:rsidR="00D87D1A" w:rsidRPr="007E5850" w:rsidRDefault="00D87D1A" w:rsidP="00D87D1A">
      <w:pPr>
        <w:jc w:val="center"/>
        <w:rPr>
          <w:b/>
        </w:rPr>
      </w:pPr>
    </w:p>
    <w:p w14:paraId="3EE626D3" w14:textId="77777777" w:rsidR="00D87D1A" w:rsidRPr="007E5850" w:rsidRDefault="00D87D1A" w:rsidP="00D87D1A">
      <w:pPr>
        <w:jc w:val="center"/>
        <w:rPr>
          <w:b/>
        </w:rPr>
      </w:pPr>
    </w:p>
    <w:p w14:paraId="351D24D9" w14:textId="77777777" w:rsidR="00D87D1A" w:rsidRPr="007E5850" w:rsidRDefault="00D87D1A" w:rsidP="00D87D1A">
      <w:pPr>
        <w:rPr>
          <w:b/>
        </w:rPr>
      </w:pPr>
    </w:p>
    <w:p w14:paraId="3A1B6795" w14:textId="77777777" w:rsidR="00D87D1A" w:rsidRPr="007E5850" w:rsidRDefault="00D87D1A" w:rsidP="00D87D1A">
      <w:pPr>
        <w:jc w:val="center"/>
        <w:rPr>
          <w:b/>
        </w:rPr>
      </w:pPr>
    </w:p>
    <w:p w14:paraId="4861954C" w14:textId="77777777" w:rsidR="00D87D1A" w:rsidRPr="007E5850" w:rsidRDefault="00D87D1A" w:rsidP="00D87D1A">
      <w:pPr>
        <w:jc w:val="center"/>
        <w:rPr>
          <w:rFonts w:cs="Arial"/>
          <w:b/>
        </w:rPr>
      </w:pPr>
      <w:r w:rsidRPr="007E5850">
        <w:rPr>
          <w:b/>
        </w:rPr>
        <w:t xml:space="preserve">DRAFT PAPER – </w:t>
      </w:r>
      <w:r>
        <w:rPr>
          <w:b/>
        </w:rPr>
        <w:t>NOT FOR CITATION OR DISTRIBUTION</w:t>
      </w:r>
    </w:p>
    <w:p w14:paraId="27E27309" w14:textId="3722E6D4" w:rsidR="00D87D1A" w:rsidRDefault="00EE2D1F" w:rsidP="00A1163F">
      <w:pPr>
        <w:jc w:val="center"/>
        <w:rPr>
          <w:rFonts w:cs="Arial"/>
          <w:b/>
        </w:rPr>
      </w:pPr>
      <w:r>
        <w:rPr>
          <w:rFonts w:cs="Arial"/>
          <w:b/>
        </w:rPr>
        <w:lastRenderedPageBreak/>
        <w:t>ABSTRACT</w:t>
      </w:r>
    </w:p>
    <w:p w14:paraId="50FE1A0C" w14:textId="3F3A1FB1" w:rsidR="00EE2D1F" w:rsidRDefault="00EE2D1F" w:rsidP="00A1163F">
      <w:pPr>
        <w:jc w:val="center"/>
        <w:rPr>
          <w:rFonts w:cs="Arial"/>
          <w:b/>
        </w:rPr>
      </w:pPr>
    </w:p>
    <w:p w14:paraId="4CAF1EEB" w14:textId="3EC1CE53" w:rsidR="00EE2D1F" w:rsidRDefault="00EE2D1F" w:rsidP="00EE2D1F">
      <w:pPr>
        <w:jc w:val="both"/>
        <w:rPr>
          <w:rFonts w:cstheme="minorHAnsi"/>
        </w:rPr>
      </w:pPr>
      <w:r w:rsidRPr="008777E8">
        <w:rPr>
          <w:rFonts w:cstheme="minorHAnsi"/>
        </w:rPr>
        <w:t>On August 5, 2015 an accidental release of 3</w:t>
      </w:r>
      <w:r>
        <w:rPr>
          <w:rFonts w:cstheme="minorHAnsi"/>
        </w:rPr>
        <w:t>+</w:t>
      </w:r>
      <w:r w:rsidRPr="008777E8">
        <w:rPr>
          <w:rFonts w:cstheme="minorHAnsi"/>
        </w:rPr>
        <w:t xml:space="preserve"> million gallons of toxic water from a derelict mine in southwestern Colorado </w:t>
      </w:r>
      <w:r>
        <w:rPr>
          <w:rFonts w:cstheme="minorHAnsi"/>
        </w:rPr>
        <w:t xml:space="preserve">brought </w:t>
      </w:r>
      <w:r w:rsidRPr="008777E8">
        <w:rPr>
          <w:rFonts w:cstheme="minorHAnsi"/>
        </w:rPr>
        <w:t xml:space="preserve">the issue of acid mine drainage </w:t>
      </w:r>
      <w:r>
        <w:rPr>
          <w:rFonts w:cstheme="minorHAnsi"/>
        </w:rPr>
        <w:t xml:space="preserve">(AMD) </w:t>
      </w:r>
      <w:r w:rsidRPr="008777E8">
        <w:rPr>
          <w:rFonts w:cstheme="minorHAnsi"/>
        </w:rPr>
        <w:t xml:space="preserve">into the spotlight.  Almost immediately, the Animas River turned unnaturally bright orange, prompting officials to restrict public access and suspend all diversions.  Local, national, and international media outlets capitalized on the sensational event; images of the profoundly discolored river went viral, indelibly impacting the minds and memories of many.  </w:t>
      </w:r>
      <w:r>
        <w:rPr>
          <w:rFonts w:cstheme="minorHAnsi"/>
        </w:rPr>
        <w:t xml:space="preserve">Concerns also mounted over potential ecological damages and effects to human health from the estimated 880,000 pounds of heavy metals that were thrust into the Animas River basin by the mine spill. </w:t>
      </w:r>
      <w:r w:rsidRPr="008777E8">
        <w:rPr>
          <w:rFonts w:cstheme="minorHAnsi"/>
        </w:rPr>
        <w:t>In turn, calls for a strong political response and policy reforms materialized, prompting many to reconsider Superfund listing(s) and anticipate additional changes to existing policies</w:t>
      </w:r>
      <w:r>
        <w:rPr>
          <w:rFonts w:cstheme="minorHAnsi"/>
        </w:rPr>
        <w:t xml:space="preserve"> governing AMD and reclamation of abandoned mines </w:t>
      </w:r>
      <w:r w:rsidRPr="008777E8">
        <w:rPr>
          <w:rFonts w:cstheme="minorHAnsi"/>
        </w:rPr>
        <w:t>at the state and federal levels.</w:t>
      </w:r>
      <w:r>
        <w:rPr>
          <w:rFonts w:cstheme="minorHAnsi"/>
        </w:rPr>
        <w:t xml:space="preserve">  In the three-plus years following the spill, many notable and surprising developments have occurred.  This paper examines these and reflects on a number of ‘lessons learned’ following the dramatic focusing event that was the 2015 Gold King Mine spill.  These include the remarkably fast-paced process of official National Priority List (NPL) designation under Superfund for the Silverton area; the spill’s overwhelming visual and emotional impacts offset against the relative paucity of ecological and economic impacts; the comparative impact of other crisis-oriented focusing events in the Animas basin; the extent of political mobilization both prior to and after the GKM spill; and contention over EPA’s Interim Remedial Actions plan.</w:t>
      </w:r>
    </w:p>
    <w:p w14:paraId="2C152E28" w14:textId="43986C81" w:rsidR="00ED670A" w:rsidRDefault="00ED670A" w:rsidP="00EE2D1F">
      <w:pPr>
        <w:jc w:val="both"/>
        <w:rPr>
          <w:rFonts w:cstheme="minorHAnsi"/>
        </w:rPr>
      </w:pPr>
    </w:p>
    <w:p w14:paraId="49875EA3" w14:textId="694681E2" w:rsidR="00ED670A" w:rsidRDefault="00ED670A" w:rsidP="00EE2D1F">
      <w:pPr>
        <w:jc w:val="both"/>
        <w:rPr>
          <w:rFonts w:cstheme="minorHAnsi"/>
        </w:rPr>
      </w:pPr>
    </w:p>
    <w:p w14:paraId="50F19FCE" w14:textId="608C8078" w:rsidR="00ED670A" w:rsidRDefault="00ED670A" w:rsidP="00EE2D1F">
      <w:pPr>
        <w:jc w:val="both"/>
        <w:rPr>
          <w:rFonts w:cstheme="minorHAnsi"/>
        </w:rPr>
      </w:pPr>
    </w:p>
    <w:p w14:paraId="0929653F" w14:textId="141DD9B6" w:rsidR="00ED670A" w:rsidRDefault="00ED670A" w:rsidP="00EE2D1F">
      <w:pPr>
        <w:jc w:val="both"/>
        <w:rPr>
          <w:rFonts w:cstheme="minorHAnsi"/>
        </w:rPr>
      </w:pPr>
    </w:p>
    <w:p w14:paraId="5835DAF4" w14:textId="251DB98E" w:rsidR="00ED670A" w:rsidRDefault="00ED670A" w:rsidP="00EE2D1F">
      <w:pPr>
        <w:jc w:val="both"/>
        <w:rPr>
          <w:rFonts w:cstheme="minorHAnsi"/>
        </w:rPr>
      </w:pPr>
    </w:p>
    <w:p w14:paraId="00643A2E" w14:textId="6294DC63" w:rsidR="00ED670A" w:rsidRDefault="00ED670A" w:rsidP="00EE2D1F">
      <w:pPr>
        <w:jc w:val="both"/>
        <w:rPr>
          <w:rFonts w:cstheme="minorHAnsi"/>
        </w:rPr>
      </w:pPr>
    </w:p>
    <w:p w14:paraId="03D7BA61" w14:textId="0615CABF" w:rsidR="008D2504" w:rsidRDefault="008D2504" w:rsidP="00EE2D1F">
      <w:pPr>
        <w:jc w:val="both"/>
        <w:rPr>
          <w:rFonts w:cstheme="minorHAnsi"/>
        </w:rPr>
      </w:pPr>
    </w:p>
    <w:p w14:paraId="0D0FBB03" w14:textId="2F86095B" w:rsidR="008D2504" w:rsidRDefault="008D2504" w:rsidP="00EE2D1F">
      <w:pPr>
        <w:jc w:val="both"/>
        <w:rPr>
          <w:rFonts w:cstheme="minorHAnsi"/>
        </w:rPr>
      </w:pPr>
    </w:p>
    <w:p w14:paraId="4421A26E" w14:textId="59611C8B" w:rsidR="008D2504" w:rsidRDefault="008D2504" w:rsidP="00EE2D1F">
      <w:pPr>
        <w:jc w:val="both"/>
        <w:rPr>
          <w:rFonts w:cstheme="minorHAnsi"/>
        </w:rPr>
      </w:pPr>
    </w:p>
    <w:p w14:paraId="7D90DE61" w14:textId="39B01FEE" w:rsidR="008D2504" w:rsidRDefault="008D2504" w:rsidP="00EE2D1F">
      <w:pPr>
        <w:jc w:val="both"/>
        <w:rPr>
          <w:rFonts w:cstheme="minorHAnsi"/>
        </w:rPr>
      </w:pPr>
    </w:p>
    <w:p w14:paraId="571C96D5" w14:textId="77777777" w:rsidR="008D2504" w:rsidRDefault="008D2504" w:rsidP="00EE2D1F">
      <w:pPr>
        <w:jc w:val="both"/>
        <w:rPr>
          <w:rFonts w:cstheme="minorHAnsi"/>
        </w:rPr>
      </w:pPr>
    </w:p>
    <w:p w14:paraId="6F0BF0AD" w14:textId="381D05AC" w:rsidR="00ED670A" w:rsidRDefault="00ED670A" w:rsidP="00EE2D1F">
      <w:pPr>
        <w:jc w:val="both"/>
        <w:rPr>
          <w:rFonts w:cstheme="minorHAnsi"/>
        </w:rPr>
      </w:pPr>
    </w:p>
    <w:p w14:paraId="4C6F75D2" w14:textId="4DD34A5E" w:rsidR="00ED670A" w:rsidRDefault="00ED670A" w:rsidP="00EE2D1F">
      <w:pPr>
        <w:jc w:val="both"/>
        <w:rPr>
          <w:rFonts w:cstheme="minorHAnsi"/>
          <w:i/>
          <w:sz w:val="20"/>
          <w:szCs w:val="20"/>
        </w:rPr>
      </w:pPr>
      <w:r w:rsidRPr="00A552DB">
        <w:rPr>
          <w:rFonts w:cstheme="minorHAnsi"/>
          <w:b/>
          <w:i/>
          <w:sz w:val="20"/>
          <w:szCs w:val="20"/>
          <w:u w:val="single"/>
        </w:rPr>
        <w:t>Author’s Note</w:t>
      </w:r>
      <w:r w:rsidRPr="00A552DB">
        <w:rPr>
          <w:rFonts w:cstheme="minorHAnsi"/>
          <w:b/>
          <w:i/>
          <w:sz w:val="20"/>
          <w:szCs w:val="20"/>
        </w:rPr>
        <w:t>:</w:t>
      </w:r>
      <w:r w:rsidRPr="00A552DB">
        <w:rPr>
          <w:rFonts w:cstheme="minorHAnsi"/>
          <w:i/>
          <w:sz w:val="20"/>
          <w:szCs w:val="20"/>
        </w:rPr>
        <w:t xml:space="preserve">  This paper represents a culmination of nearly four-years of research, including three WPSA conference papers; </w:t>
      </w:r>
      <w:r w:rsidR="00C1699B" w:rsidRPr="00A552DB">
        <w:rPr>
          <w:rFonts w:cstheme="minorHAnsi"/>
          <w:i/>
          <w:sz w:val="20"/>
          <w:szCs w:val="20"/>
        </w:rPr>
        <w:t>collaboration with colleagues from across academic disciplines; preparation and submission of four peer-reviewed book chapters; and editorial oversight of a ten-chapter multi- and interdisciplinary volume currently under contract with the University Press of Colorado.  The paper is my initial attempt to make a broad assessment of this entire project and to distill some understanding of a number of major ‘lessons learned’.  Because of the project’s breadth and depth, is was a challenge to decide which materials to include</w:t>
      </w:r>
      <w:r w:rsidR="008D2504" w:rsidRPr="00A552DB">
        <w:rPr>
          <w:rFonts w:cstheme="minorHAnsi"/>
          <w:i/>
          <w:sz w:val="20"/>
          <w:szCs w:val="20"/>
        </w:rPr>
        <w:t xml:space="preserve"> and/or exclude</w:t>
      </w:r>
      <w:r w:rsidR="00C1699B" w:rsidRPr="00A552DB">
        <w:rPr>
          <w:rFonts w:cstheme="minorHAnsi"/>
          <w:i/>
          <w:sz w:val="20"/>
          <w:szCs w:val="20"/>
        </w:rPr>
        <w:t>, in terms of background information, theoretical development, and substantive analysis</w:t>
      </w:r>
      <w:r w:rsidR="008D2504" w:rsidRPr="00A552DB">
        <w:rPr>
          <w:rFonts w:cstheme="minorHAnsi"/>
          <w:i/>
          <w:sz w:val="20"/>
          <w:szCs w:val="20"/>
        </w:rPr>
        <w:t>.  By virtue of this, the paper admittedly lacks a proper flow, singular voice, continuity.  Please accept my recognition of this in advance.  Thank you.</w:t>
      </w:r>
    </w:p>
    <w:p w14:paraId="3DD8D91B" w14:textId="430DBC4C" w:rsidR="00A552DB" w:rsidRDefault="00A552DB" w:rsidP="00EE2D1F">
      <w:pPr>
        <w:jc w:val="both"/>
        <w:rPr>
          <w:rFonts w:cstheme="minorHAnsi"/>
          <w:i/>
          <w:sz w:val="20"/>
          <w:szCs w:val="20"/>
        </w:rPr>
      </w:pPr>
    </w:p>
    <w:p w14:paraId="00FD8123" w14:textId="184FC0CF" w:rsidR="00A552DB" w:rsidRDefault="00A552DB" w:rsidP="00EE2D1F">
      <w:pPr>
        <w:jc w:val="both"/>
        <w:rPr>
          <w:rFonts w:cstheme="minorHAnsi"/>
          <w:i/>
          <w:sz w:val="20"/>
          <w:szCs w:val="20"/>
        </w:rPr>
      </w:pPr>
    </w:p>
    <w:p w14:paraId="46A4754E" w14:textId="2E3507D8" w:rsidR="00A552DB" w:rsidRDefault="00A552DB" w:rsidP="00EE2D1F">
      <w:pPr>
        <w:jc w:val="both"/>
        <w:rPr>
          <w:rFonts w:cstheme="minorHAnsi"/>
          <w:i/>
          <w:sz w:val="20"/>
          <w:szCs w:val="20"/>
        </w:rPr>
      </w:pPr>
    </w:p>
    <w:p w14:paraId="437AA4D0" w14:textId="77777777" w:rsidR="00A552DB" w:rsidRPr="00A552DB" w:rsidRDefault="00A552DB" w:rsidP="00EE2D1F">
      <w:pPr>
        <w:jc w:val="both"/>
        <w:rPr>
          <w:rFonts w:cstheme="minorHAnsi"/>
          <w:i/>
          <w:sz w:val="20"/>
          <w:szCs w:val="20"/>
        </w:rPr>
      </w:pPr>
    </w:p>
    <w:p w14:paraId="2CC65DFD" w14:textId="77777777" w:rsidR="00EE2D1F" w:rsidRDefault="00EE2D1F" w:rsidP="00EE2D1F">
      <w:pPr>
        <w:rPr>
          <w:rFonts w:cs="Arial"/>
          <w:b/>
          <w:sz w:val="20"/>
          <w:szCs w:val="20"/>
        </w:rPr>
      </w:pPr>
    </w:p>
    <w:p w14:paraId="233242F9" w14:textId="2131C2C1" w:rsidR="00A1163F" w:rsidRDefault="00A1163F" w:rsidP="00A1163F">
      <w:pPr>
        <w:jc w:val="center"/>
        <w:rPr>
          <w:rFonts w:cs="Arial"/>
          <w:b/>
          <w:sz w:val="20"/>
          <w:szCs w:val="20"/>
        </w:rPr>
      </w:pPr>
      <w:r w:rsidRPr="00A1163F">
        <w:rPr>
          <w:rFonts w:cs="Arial"/>
          <w:b/>
          <w:sz w:val="20"/>
          <w:szCs w:val="20"/>
        </w:rPr>
        <w:lastRenderedPageBreak/>
        <w:t>FeS</w:t>
      </w:r>
      <w:r w:rsidRPr="00A1163F">
        <w:rPr>
          <w:rFonts w:cs="Arial"/>
          <w:b/>
          <w:sz w:val="20"/>
          <w:szCs w:val="20"/>
          <w:vertAlign w:val="subscript"/>
        </w:rPr>
        <w:t>2</w:t>
      </w:r>
      <w:r w:rsidRPr="00A1163F">
        <w:rPr>
          <w:rFonts w:cs="Arial"/>
          <w:b/>
          <w:sz w:val="20"/>
          <w:szCs w:val="20"/>
        </w:rPr>
        <w:t xml:space="preserve"> + O</w:t>
      </w:r>
      <w:r w:rsidRPr="00A1163F">
        <w:rPr>
          <w:rFonts w:cs="Arial"/>
          <w:b/>
          <w:sz w:val="20"/>
          <w:szCs w:val="20"/>
          <w:vertAlign w:val="subscript"/>
        </w:rPr>
        <w:t>2</w:t>
      </w:r>
      <w:r w:rsidRPr="00A1163F">
        <w:rPr>
          <w:rFonts w:cs="Arial"/>
          <w:b/>
          <w:sz w:val="20"/>
          <w:szCs w:val="20"/>
        </w:rPr>
        <w:t xml:space="preserve"> +</w:t>
      </w:r>
      <w:r>
        <w:rPr>
          <w:rFonts w:cs="Arial"/>
          <w:b/>
          <w:sz w:val="20"/>
          <w:szCs w:val="20"/>
        </w:rPr>
        <w:t xml:space="preserve"> </w:t>
      </w:r>
      <w:r w:rsidRPr="00A1163F">
        <w:rPr>
          <w:rFonts w:cs="Arial"/>
          <w:b/>
          <w:sz w:val="20"/>
          <w:szCs w:val="20"/>
        </w:rPr>
        <w:t>H</w:t>
      </w:r>
      <w:r w:rsidRPr="00A1163F">
        <w:rPr>
          <w:rFonts w:cs="Arial"/>
          <w:b/>
          <w:sz w:val="20"/>
          <w:szCs w:val="20"/>
          <w:vertAlign w:val="subscript"/>
        </w:rPr>
        <w:t>2</w:t>
      </w:r>
      <w:r w:rsidRPr="00A1163F">
        <w:rPr>
          <w:rFonts w:cs="Arial"/>
          <w:b/>
          <w:sz w:val="20"/>
          <w:szCs w:val="20"/>
        </w:rPr>
        <w:t>O = H</w:t>
      </w:r>
      <w:r w:rsidRPr="00A1163F">
        <w:rPr>
          <w:rFonts w:cs="Arial"/>
          <w:b/>
          <w:sz w:val="20"/>
          <w:szCs w:val="20"/>
          <w:vertAlign w:val="subscript"/>
        </w:rPr>
        <w:t>2</w:t>
      </w:r>
      <w:r w:rsidRPr="00A1163F">
        <w:rPr>
          <w:rFonts w:cs="Arial"/>
          <w:b/>
          <w:sz w:val="20"/>
          <w:szCs w:val="20"/>
        </w:rPr>
        <w:t>SO</w:t>
      </w:r>
      <w:r w:rsidRPr="00A1163F">
        <w:rPr>
          <w:rFonts w:cs="Arial"/>
          <w:b/>
          <w:sz w:val="20"/>
          <w:szCs w:val="20"/>
          <w:vertAlign w:val="subscript"/>
        </w:rPr>
        <w:t>4</w:t>
      </w:r>
      <w:r w:rsidRPr="00A1163F">
        <w:rPr>
          <w:rFonts w:cs="Arial"/>
          <w:b/>
          <w:sz w:val="20"/>
          <w:szCs w:val="20"/>
        </w:rPr>
        <w:t xml:space="preserve"> </w:t>
      </w:r>
      <w:r w:rsidRPr="00A1163F">
        <w:rPr>
          <w:rFonts w:cs="Arial"/>
          <w:b/>
          <w:sz w:val="20"/>
          <w:szCs w:val="20"/>
        </w:rPr>
        <w:sym w:font="Symbol" w:char="F0AE"/>
      </w:r>
      <w:r w:rsidRPr="00A1163F">
        <w:rPr>
          <w:rFonts w:cs="Arial"/>
          <w:b/>
          <w:sz w:val="20"/>
          <w:szCs w:val="20"/>
        </w:rPr>
        <w:t xml:space="preserve"> </w:t>
      </w:r>
      <w:r w:rsidRPr="00A1163F">
        <w:rPr>
          <w:rFonts w:cs="Arial"/>
          <w:b/>
          <w:sz w:val="20"/>
          <w:szCs w:val="20"/>
          <w:u w:val="single"/>
        </w:rPr>
        <w:t>AMD</w:t>
      </w:r>
      <w:r w:rsidRPr="00A1163F">
        <w:rPr>
          <w:rFonts w:cs="Arial"/>
          <w:b/>
          <w:sz w:val="20"/>
          <w:szCs w:val="20"/>
        </w:rPr>
        <w:t xml:space="preserve">  </w:t>
      </w:r>
      <w:r w:rsidRPr="00A1163F">
        <w:rPr>
          <w:rFonts w:cs="Arial"/>
          <w:b/>
          <w:sz w:val="20"/>
          <w:szCs w:val="20"/>
        </w:rPr>
        <w:sym w:font="Symbol" w:char="F0AE"/>
      </w:r>
      <w:r w:rsidRPr="00A1163F">
        <w:rPr>
          <w:rFonts w:cs="Arial"/>
          <w:b/>
          <w:sz w:val="20"/>
          <w:szCs w:val="20"/>
        </w:rPr>
        <w:t xml:space="preserve"> </w:t>
      </w:r>
      <w:r w:rsidR="00CB2806">
        <w:rPr>
          <w:rFonts w:cs="Arial"/>
          <w:b/>
          <w:sz w:val="20"/>
          <w:szCs w:val="20"/>
        </w:rPr>
        <w:t xml:space="preserve">Low </w:t>
      </w:r>
      <w:r w:rsidR="004C7347">
        <w:rPr>
          <w:rFonts w:cs="Arial"/>
          <w:b/>
          <w:sz w:val="20"/>
          <w:szCs w:val="20"/>
        </w:rPr>
        <w:t xml:space="preserve">pH and </w:t>
      </w:r>
      <w:r w:rsidRPr="00A1163F">
        <w:rPr>
          <w:rFonts w:cs="Arial"/>
          <w:b/>
          <w:sz w:val="20"/>
          <w:szCs w:val="20"/>
        </w:rPr>
        <w:t>Dissolved Metals (Fe, Pb, Hg, Al, etc…</w:t>
      </w:r>
      <w:r>
        <w:rPr>
          <w:rFonts w:cs="Arial"/>
          <w:b/>
          <w:sz w:val="20"/>
          <w:szCs w:val="20"/>
        </w:rPr>
        <w:t>)</w:t>
      </w:r>
    </w:p>
    <w:p w14:paraId="0D092BCD" w14:textId="33E2081A" w:rsidR="0016439F" w:rsidRDefault="0016439F" w:rsidP="00A1163F">
      <w:pPr>
        <w:jc w:val="center"/>
        <w:rPr>
          <w:rFonts w:cs="Arial"/>
          <w:b/>
          <w:sz w:val="20"/>
          <w:szCs w:val="20"/>
        </w:rPr>
      </w:pPr>
    </w:p>
    <w:p w14:paraId="015DA2DE" w14:textId="003DD4D3" w:rsidR="0016439F" w:rsidRPr="0016439F" w:rsidRDefault="0016439F" w:rsidP="00A1163F">
      <w:pPr>
        <w:jc w:val="center"/>
        <w:rPr>
          <w:rFonts w:cs="Arial"/>
          <w:b/>
          <w:sz w:val="20"/>
          <w:szCs w:val="20"/>
        </w:rPr>
      </w:pPr>
      <w:r w:rsidRPr="0016439F">
        <w:rPr>
          <w:rFonts w:cs="Arial"/>
          <w:sz w:val="20"/>
          <w:szCs w:val="20"/>
        </w:rPr>
        <w:t>(Refer to Appendix I for a graphic on how AMD forms.)</w:t>
      </w:r>
    </w:p>
    <w:p w14:paraId="2ACB59EA" w14:textId="77777777" w:rsidR="00A1163F" w:rsidRDefault="00A1163F" w:rsidP="00612E5B">
      <w:pPr>
        <w:jc w:val="both"/>
        <w:rPr>
          <w:rFonts w:cs="Arial"/>
          <w:i/>
        </w:rPr>
      </w:pPr>
    </w:p>
    <w:p w14:paraId="65CC56AC" w14:textId="77777777" w:rsidR="00A1163F" w:rsidRDefault="00A1163F" w:rsidP="00612E5B">
      <w:pPr>
        <w:jc w:val="both"/>
        <w:rPr>
          <w:rFonts w:cs="Arial"/>
          <w:i/>
        </w:rPr>
      </w:pPr>
    </w:p>
    <w:p w14:paraId="71187C6D" w14:textId="5A4009FF" w:rsidR="00612E5B" w:rsidRPr="00D244C9" w:rsidRDefault="00612E5B" w:rsidP="00612E5B">
      <w:pPr>
        <w:jc w:val="both"/>
        <w:rPr>
          <w:rFonts w:cs="Arial"/>
          <w:i/>
        </w:rPr>
      </w:pPr>
      <w:r w:rsidRPr="00D244C9">
        <w:rPr>
          <w:rFonts w:cs="Arial"/>
          <w:i/>
        </w:rPr>
        <w:t>“Whether it’s 100,000 or 500,000</w:t>
      </w:r>
      <w:r w:rsidRPr="00D244C9">
        <w:rPr>
          <w:rFonts w:cs="Arial"/>
        </w:rPr>
        <w:t xml:space="preserve"> [abandoned mines], </w:t>
      </w:r>
      <w:r w:rsidRPr="00D244C9">
        <w:rPr>
          <w:rFonts w:cs="Arial"/>
          <w:i/>
        </w:rPr>
        <w:t>that’s hundreds of thousands too many… the Animas River spill has alerted the nation to the much more broad problem that many people were not paying attention to before.”</w:t>
      </w:r>
      <w:r w:rsidRPr="00D244C9">
        <w:rPr>
          <w:rStyle w:val="EndnoteReference"/>
          <w:rFonts w:cs="Arial"/>
          <w:sz w:val="20"/>
          <w:szCs w:val="20"/>
        </w:rPr>
        <w:endnoteReference w:id="1"/>
      </w:r>
      <w:r w:rsidRPr="00D244C9">
        <w:rPr>
          <w:rFonts w:cs="Arial"/>
          <w:i/>
        </w:rPr>
        <w:t xml:space="preserve">  </w:t>
      </w:r>
    </w:p>
    <w:p w14:paraId="536A5D3A" w14:textId="77777777" w:rsidR="00612E5B" w:rsidRPr="00D244C9" w:rsidRDefault="00612E5B" w:rsidP="00612E5B">
      <w:pPr>
        <w:jc w:val="both"/>
        <w:rPr>
          <w:rFonts w:cs="Arial"/>
          <w:i/>
        </w:rPr>
      </w:pPr>
    </w:p>
    <w:p w14:paraId="32876F2F" w14:textId="77777777" w:rsidR="00612E5B" w:rsidRPr="00D244C9" w:rsidRDefault="00612E5B" w:rsidP="00612E5B">
      <w:pPr>
        <w:jc w:val="both"/>
        <w:rPr>
          <w:rFonts w:cs="Arial"/>
        </w:rPr>
      </w:pPr>
      <w:r w:rsidRPr="00D244C9">
        <w:rPr>
          <w:rFonts w:cs="Arial"/>
          <w:i/>
        </w:rPr>
        <w:tab/>
      </w:r>
      <w:r w:rsidRPr="00D244C9">
        <w:rPr>
          <w:rFonts w:cs="Arial"/>
        </w:rPr>
        <w:t xml:space="preserve">- </w:t>
      </w:r>
      <w:r w:rsidRPr="00D244C9">
        <w:t>Ty Churchwell, Backcountry Coordinator, Trout Unlimited</w:t>
      </w:r>
    </w:p>
    <w:p w14:paraId="10C1343F" w14:textId="77777777" w:rsidR="00612E5B" w:rsidRPr="00D244C9" w:rsidRDefault="00612E5B" w:rsidP="00612E5B">
      <w:pPr>
        <w:spacing w:line="480" w:lineRule="auto"/>
        <w:rPr>
          <w:rFonts w:cs="Arial"/>
        </w:rPr>
      </w:pPr>
    </w:p>
    <w:p w14:paraId="5EFE0404" w14:textId="3369BA94" w:rsidR="00612E5B" w:rsidRPr="00D244C9" w:rsidRDefault="00540F6A" w:rsidP="00612E5B">
      <w:pPr>
        <w:spacing w:line="480" w:lineRule="auto"/>
        <w:outlineLvl w:val="0"/>
        <w:rPr>
          <w:rFonts w:cs="Arial"/>
          <w:b/>
        </w:rPr>
      </w:pPr>
      <w:r>
        <w:rPr>
          <w:rFonts w:cs="Arial"/>
          <w:b/>
        </w:rPr>
        <w:t>In Perspec</w:t>
      </w:r>
      <w:r w:rsidR="0079285A">
        <w:rPr>
          <w:rFonts w:cs="Arial"/>
          <w:b/>
        </w:rPr>
        <w:t>t</w:t>
      </w:r>
      <w:r>
        <w:rPr>
          <w:rFonts w:cs="Arial"/>
          <w:b/>
        </w:rPr>
        <w:t xml:space="preserve">ive:  </w:t>
      </w:r>
      <w:r w:rsidR="00612E5B" w:rsidRPr="00D244C9">
        <w:rPr>
          <w:rFonts w:cs="Arial"/>
          <w:b/>
        </w:rPr>
        <w:t xml:space="preserve">The </w:t>
      </w:r>
      <w:r w:rsidR="0079285A">
        <w:rPr>
          <w:rFonts w:cs="Arial"/>
          <w:b/>
        </w:rPr>
        <w:t xml:space="preserve">2015 </w:t>
      </w:r>
      <w:r w:rsidR="00612E5B" w:rsidRPr="00D244C9">
        <w:rPr>
          <w:rFonts w:cs="Arial"/>
          <w:b/>
        </w:rPr>
        <w:t>Gold King Mine (GKM) Spill</w:t>
      </w:r>
    </w:p>
    <w:p w14:paraId="51ECF0F5" w14:textId="57D85495" w:rsidR="00612E5B" w:rsidRPr="00D244C9" w:rsidRDefault="00612E5B" w:rsidP="00FC335E">
      <w:pPr>
        <w:spacing w:line="480" w:lineRule="auto"/>
        <w:rPr>
          <w:rFonts w:cs="Arial"/>
        </w:rPr>
      </w:pPr>
      <w:r w:rsidRPr="00D244C9">
        <w:rPr>
          <w:rFonts w:cs="Arial"/>
        </w:rPr>
        <w:t xml:space="preserve">On October 5, 2015, the issue </w:t>
      </w:r>
      <w:r w:rsidR="00A75427">
        <w:rPr>
          <w:rFonts w:cs="Arial"/>
        </w:rPr>
        <w:t>acid mine drainage (</w:t>
      </w:r>
      <w:r w:rsidRPr="00D244C9">
        <w:rPr>
          <w:rFonts w:cs="Arial"/>
        </w:rPr>
        <w:t>AMD</w:t>
      </w:r>
      <w:r w:rsidR="00A75427">
        <w:rPr>
          <w:rFonts w:cs="Arial"/>
        </w:rPr>
        <w:t>)</w:t>
      </w:r>
      <w:r w:rsidRPr="00D244C9">
        <w:rPr>
          <w:rFonts w:cs="Arial"/>
        </w:rPr>
        <w:t xml:space="preserve"> was thrust into the </w:t>
      </w:r>
      <w:r w:rsidR="0079285A">
        <w:rPr>
          <w:rFonts w:cs="Arial"/>
        </w:rPr>
        <w:t xml:space="preserve">public and political </w:t>
      </w:r>
      <w:r w:rsidRPr="00D244C9">
        <w:rPr>
          <w:rFonts w:cs="Arial"/>
        </w:rPr>
        <w:t xml:space="preserve">spotlight, </w:t>
      </w:r>
      <w:r w:rsidR="00BB20F2">
        <w:rPr>
          <w:rFonts w:cs="Arial"/>
        </w:rPr>
        <w:t>with</w:t>
      </w:r>
      <w:r w:rsidRPr="00D244C9">
        <w:rPr>
          <w:rFonts w:cs="Arial"/>
        </w:rPr>
        <w:t xml:space="preserve"> the unintended release of 3+ million gallons of subterranean mine water, carrying some-880,000 pounds of heavy metals from the entrance of </w:t>
      </w:r>
      <w:r w:rsidR="00A552DB">
        <w:rPr>
          <w:rFonts w:cs="Arial"/>
        </w:rPr>
        <w:t xml:space="preserve">the abandoned </w:t>
      </w:r>
      <w:r w:rsidRPr="00D244C9">
        <w:rPr>
          <w:rFonts w:cs="Arial"/>
        </w:rPr>
        <w:t>Gold King Mine (GKM) into Cement Creek, a tributary to the Animas River in southwestern Colorado.</w:t>
      </w:r>
      <w:r w:rsidR="0016439F">
        <w:rPr>
          <w:rFonts w:cs="Arial"/>
        </w:rPr>
        <w:t xml:space="preserve">  </w:t>
      </w:r>
      <w:r w:rsidRPr="00D244C9">
        <w:rPr>
          <w:rFonts w:cs="Arial"/>
        </w:rPr>
        <w:t xml:space="preserve">  Just upstream from its confluence with the mainstem Animas, Cement Creek flows through Silverton, CO, the administrative seat of San Juan County.  The Silverton area thus became the primary source associated with the spill, where an estimated 120-plus historic mine sites have contributed to AMD for decades (CDRMS, 2015). </w:t>
      </w:r>
      <w:r w:rsidR="00A75427">
        <w:rPr>
          <w:rFonts w:cs="Arial"/>
        </w:rPr>
        <w:t xml:space="preserve"> Even prior to the arrival of hardrock mining in the area (circa 1870s), naturally occurring acid rock drainage (ARD) from the underlying geology has degraded water quality for millennia.</w:t>
      </w:r>
      <w:r w:rsidR="00447DA5" w:rsidRPr="00783095">
        <w:rPr>
          <w:rStyle w:val="EndnoteReference"/>
          <w:rFonts w:cs="Arial"/>
          <w:sz w:val="20"/>
          <w:szCs w:val="20"/>
        </w:rPr>
        <w:endnoteReference w:id="2"/>
      </w:r>
      <w:r w:rsidRPr="00783095">
        <w:rPr>
          <w:rFonts w:cs="Arial"/>
          <w:sz w:val="20"/>
          <w:szCs w:val="20"/>
        </w:rPr>
        <w:t xml:space="preserve"> </w:t>
      </w:r>
      <w:r w:rsidRPr="00D244C9">
        <w:rPr>
          <w:rFonts w:cs="Arial"/>
        </w:rPr>
        <w:t xml:space="preserve"> </w:t>
      </w:r>
    </w:p>
    <w:p w14:paraId="7D4F741C" w14:textId="3145A1A7" w:rsidR="00DD0F1C" w:rsidRDefault="000A7EE4" w:rsidP="00FC335E">
      <w:pPr>
        <w:spacing w:line="480" w:lineRule="auto"/>
        <w:ind w:firstLine="720"/>
        <w:rPr>
          <w:rStyle w:val="apple-converted-space"/>
          <w:rFonts w:eastAsia="Times New Roman" w:cs="Arial"/>
          <w:color w:val="222222"/>
          <w:shd w:val="clear" w:color="auto" w:fill="FFFFFF"/>
        </w:rPr>
      </w:pPr>
      <w:r>
        <w:rPr>
          <w:rFonts w:cs="Arial"/>
        </w:rPr>
        <w:t>Soon after</w:t>
      </w:r>
      <w:r w:rsidR="00A441F1">
        <w:rPr>
          <w:rFonts w:cs="Arial"/>
        </w:rPr>
        <w:t xml:space="preserve"> the GKM spill, </w:t>
      </w:r>
      <w:r w:rsidR="00612E5B" w:rsidRPr="00D244C9">
        <w:rPr>
          <w:rFonts w:cs="Arial"/>
        </w:rPr>
        <w:t xml:space="preserve">the </w:t>
      </w:r>
      <w:r w:rsidR="0079285A">
        <w:rPr>
          <w:rFonts w:cs="Arial"/>
        </w:rPr>
        <w:t xml:space="preserve">entire </w:t>
      </w:r>
      <w:r w:rsidR="00612E5B" w:rsidRPr="00D244C9">
        <w:rPr>
          <w:rFonts w:cs="Arial"/>
        </w:rPr>
        <w:t>Animas</w:t>
      </w:r>
      <w:r w:rsidR="00A441F1">
        <w:rPr>
          <w:rFonts w:cs="Arial"/>
        </w:rPr>
        <w:t xml:space="preserve"> </w:t>
      </w:r>
      <w:r w:rsidR="00612E5B" w:rsidRPr="00D244C9">
        <w:rPr>
          <w:rFonts w:cs="Arial"/>
        </w:rPr>
        <w:t>turned an unusually bright, yellowish-orange</w:t>
      </w:r>
      <w:r w:rsidR="00A441F1">
        <w:rPr>
          <w:rFonts w:cs="Arial"/>
        </w:rPr>
        <w:t xml:space="preserve"> </w:t>
      </w:r>
      <w:r w:rsidR="0079285A">
        <w:rPr>
          <w:rFonts w:cs="Arial"/>
        </w:rPr>
        <w:t xml:space="preserve">color </w:t>
      </w:r>
      <w:r w:rsidR="00A441F1">
        <w:rPr>
          <w:rFonts w:cs="Arial"/>
        </w:rPr>
        <w:t>below its confluence with Cement Creek</w:t>
      </w:r>
      <w:r w:rsidR="00612E5B" w:rsidRPr="00D244C9">
        <w:rPr>
          <w:rFonts w:cs="Arial"/>
        </w:rPr>
        <w:t>, prompting local officials to restrict public access and suspend multiple municipal intakes and agricultural diversions</w:t>
      </w:r>
      <w:r w:rsidR="00A552DB">
        <w:rPr>
          <w:rFonts w:cs="Arial"/>
        </w:rPr>
        <w:t xml:space="preserve"> in Colorado and New Mexico</w:t>
      </w:r>
      <w:r w:rsidR="00612E5B" w:rsidRPr="00D244C9">
        <w:rPr>
          <w:rFonts w:cs="Arial"/>
        </w:rPr>
        <w:t>.</w:t>
      </w:r>
      <w:r w:rsidR="004C7347" w:rsidRPr="00783095">
        <w:rPr>
          <w:rStyle w:val="EndnoteReference"/>
          <w:rFonts w:cs="Arial"/>
          <w:sz w:val="20"/>
          <w:szCs w:val="20"/>
        </w:rPr>
        <w:endnoteReference w:id="3"/>
      </w:r>
      <w:r w:rsidR="00612E5B" w:rsidRPr="00D244C9">
        <w:rPr>
          <w:rFonts w:cs="Arial"/>
        </w:rPr>
        <w:t xml:space="preserve">  It took roughly 36 hours for the toxic plume to reach the regional hub of Durango, CO, where the Animas has long since been designated a “Gold Medal” fishery by the Colorado </w:t>
      </w:r>
      <w:r w:rsidR="00612E5B" w:rsidRPr="00D244C9">
        <w:rPr>
          <w:rFonts w:cs="Arial"/>
        </w:rPr>
        <w:lastRenderedPageBreak/>
        <w:t>Wildlife Commission; it is one of 13 similarly listed fishing areas across the state’s 9,000+ river miles.</w:t>
      </w:r>
      <w:r w:rsidR="00612E5B" w:rsidRPr="00783095">
        <w:rPr>
          <w:rStyle w:val="EndnoteReference"/>
          <w:rFonts w:cs="Arial"/>
          <w:sz w:val="20"/>
          <w:szCs w:val="20"/>
        </w:rPr>
        <w:endnoteReference w:id="4"/>
      </w:r>
      <w:r w:rsidR="00612E5B" w:rsidRPr="00D244C9">
        <w:rPr>
          <w:rFonts w:cs="Arial"/>
        </w:rPr>
        <w:t xml:space="preserve">  After </w:t>
      </w:r>
      <w:r>
        <w:rPr>
          <w:rFonts w:cs="Arial"/>
        </w:rPr>
        <w:t>crossing</w:t>
      </w:r>
      <w:r w:rsidR="00612E5B" w:rsidRPr="00D244C9">
        <w:rPr>
          <w:rFonts w:cs="Arial"/>
        </w:rPr>
        <w:t xml:space="preserve"> into New Mexico, the Animas delivered its </w:t>
      </w:r>
      <w:r w:rsidR="0079285A">
        <w:rPr>
          <w:rFonts w:cs="Arial"/>
        </w:rPr>
        <w:t xml:space="preserve">discolored </w:t>
      </w:r>
      <w:r w:rsidR="00612E5B" w:rsidRPr="00D244C9">
        <w:rPr>
          <w:rFonts w:cs="Arial"/>
        </w:rPr>
        <w:t>plume to the San Juan River, which eventually joins the mainstem Colorado.</w:t>
      </w:r>
      <w:r w:rsidR="00612E5B" w:rsidRPr="00783095">
        <w:rPr>
          <w:rStyle w:val="EndnoteReference"/>
          <w:rFonts w:cs="Arial"/>
          <w:sz w:val="20"/>
          <w:szCs w:val="20"/>
        </w:rPr>
        <w:endnoteReference w:id="5"/>
      </w:r>
      <w:r w:rsidR="00612E5B" w:rsidRPr="00783095">
        <w:rPr>
          <w:rFonts w:cs="Arial"/>
          <w:sz w:val="20"/>
          <w:szCs w:val="20"/>
        </w:rPr>
        <w:t xml:space="preserve"> </w:t>
      </w:r>
      <w:r w:rsidR="00612E5B" w:rsidRPr="00D244C9">
        <w:rPr>
          <w:rFonts w:cs="Arial"/>
        </w:rPr>
        <w:t xml:space="preserve"> </w:t>
      </w:r>
      <w:r w:rsidR="00DD0F1C">
        <w:rPr>
          <w:rFonts w:cs="Arial"/>
        </w:rPr>
        <w:t xml:space="preserve">(See Figure 1). </w:t>
      </w:r>
      <w:r w:rsidR="00612E5B" w:rsidRPr="00D244C9">
        <w:rPr>
          <w:rFonts w:cs="Arial"/>
        </w:rPr>
        <w:t xml:space="preserve">Throughout the river basin, local communities, Native American Reservations, irrigated agriculture, and recreational and wildlife areas were inundated.  States of emergency were declared in Colorado, New Mexico, Utah, and by the </w:t>
      </w:r>
      <w:r w:rsidR="00612E5B" w:rsidRPr="00D244C9">
        <w:rPr>
          <w:rFonts w:eastAsia="Times New Roman" w:cs="Arial"/>
          <w:bCs/>
          <w:color w:val="222222"/>
        </w:rPr>
        <w:t>Navajo</w:t>
      </w:r>
      <w:r w:rsidR="00612E5B" w:rsidRPr="00D244C9">
        <w:rPr>
          <w:rStyle w:val="apple-converted-space"/>
          <w:rFonts w:eastAsia="Times New Roman" w:cs="Arial"/>
          <w:color w:val="222222"/>
          <w:shd w:val="clear" w:color="auto" w:fill="FFFFFF"/>
        </w:rPr>
        <w:t> </w:t>
      </w:r>
      <w:r w:rsidR="00612E5B" w:rsidRPr="00D244C9">
        <w:rPr>
          <w:rFonts w:eastAsia="Times New Roman" w:cs="Arial"/>
          <w:color w:val="222222"/>
          <w:shd w:val="clear" w:color="auto" w:fill="FFFFFF"/>
        </w:rPr>
        <w:t>Nation</w:t>
      </w:r>
      <w:r>
        <w:rPr>
          <w:rFonts w:eastAsia="Times New Roman" w:cs="Arial"/>
          <w:color w:val="222222"/>
          <w:shd w:val="clear" w:color="auto" w:fill="FFFFFF"/>
        </w:rPr>
        <w:t xml:space="preserve">’s </w:t>
      </w:r>
      <w:r w:rsidR="00612E5B" w:rsidRPr="00D244C9">
        <w:rPr>
          <w:rFonts w:eastAsia="Times New Roman" w:cs="Arial"/>
          <w:color w:val="222222"/>
          <w:shd w:val="clear" w:color="auto" w:fill="FFFFFF"/>
        </w:rPr>
        <w:t>Commission on</w:t>
      </w:r>
      <w:r w:rsidR="00612E5B" w:rsidRPr="00D244C9">
        <w:rPr>
          <w:rStyle w:val="apple-converted-space"/>
          <w:rFonts w:eastAsia="Times New Roman" w:cs="Arial"/>
          <w:color w:val="222222"/>
          <w:shd w:val="clear" w:color="auto" w:fill="FFFFFF"/>
        </w:rPr>
        <w:t> </w:t>
      </w:r>
      <w:r w:rsidR="00612E5B" w:rsidRPr="00D244C9">
        <w:rPr>
          <w:rFonts w:eastAsia="Times New Roman" w:cs="Arial"/>
          <w:bCs/>
          <w:color w:val="222222"/>
        </w:rPr>
        <w:t xml:space="preserve">Emergency </w:t>
      </w:r>
      <w:r w:rsidR="00612E5B" w:rsidRPr="00D244C9">
        <w:rPr>
          <w:rFonts w:eastAsia="Times New Roman" w:cs="Arial"/>
          <w:color w:val="222222"/>
          <w:shd w:val="clear" w:color="auto" w:fill="FFFFFF"/>
        </w:rPr>
        <w:t>Management.</w:t>
      </w:r>
      <w:r w:rsidR="00612E5B" w:rsidRPr="00D244C9">
        <w:rPr>
          <w:rStyle w:val="apple-converted-space"/>
          <w:rFonts w:eastAsia="Times New Roman" w:cs="Arial"/>
          <w:color w:val="222222"/>
          <w:shd w:val="clear" w:color="auto" w:fill="FFFFFF"/>
        </w:rPr>
        <w:t xml:space="preserve">  </w:t>
      </w:r>
    </w:p>
    <w:p w14:paraId="5D59C7C4" w14:textId="06F40390" w:rsidR="00DD0F1C" w:rsidRDefault="00DD0F1C" w:rsidP="00FC335E">
      <w:pPr>
        <w:spacing w:line="480" w:lineRule="auto"/>
        <w:ind w:firstLine="720"/>
        <w:rPr>
          <w:rStyle w:val="apple-converted-space"/>
          <w:rFonts w:eastAsia="Times New Roman" w:cs="Arial"/>
          <w:color w:val="222222"/>
          <w:shd w:val="clear" w:color="auto" w:fill="FFFFFF"/>
        </w:rPr>
      </w:pPr>
      <w:r>
        <w:rPr>
          <w:rStyle w:val="apple-converted-space"/>
          <w:rFonts w:eastAsia="Times New Roman" w:cs="Arial"/>
          <w:color w:val="222222"/>
          <w:shd w:val="clear" w:color="auto" w:fill="FFFFFF"/>
        </w:rPr>
        <w:t>Figure 1:  Map of the Region</w:t>
      </w:r>
    </w:p>
    <w:p w14:paraId="14F1FC74" w14:textId="4E6B8A80" w:rsidR="00DD0F1C" w:rsidRDefault="00DD0F1C" w:rsidP="00FC335E">
      <w:pPr>
        <w:spacing w:line="480" w:lineRule="auto"/>
        <w:ind w:firstLine="720"/>
        <w:rPr>
          <w:rStyle w:val="apple-converted-space"/>
          <w:rFonts w:eastAsia="Times New Roman" w:cs="Arial"/>
          <w:color w:val="222222"/>
          <w:shd w:val="clear" w:color="auto" w:fill="FFFFFF"/>
        </w:rPr>
      </w:pPr>
      <w:r w:rsidRPr="00DD0F1C">
        <w:rPr>
          <w:rStyle w:val="apple-converted-space"/>
          <w:rFonts w:eastAsia="Times New Roman" w:cs="Arial"/>
          <w:noProof/>
          <w:color w:val="222222"/>
          <w:shd w:val="clear" w:color="auto" w:fill="FFFFFF"/>
        </w:rPr>
        <w:drawing>
          <wp:inline distT="0" distB="0" distL="0" distR="0" wp14:anchorId="0EAD1FD8" wp14:editId="22AB5360">
            <wp:extent cx="5473700" cy="421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3700" cy="4216400"/>
                    </a:xfrm>
                    <a:prstGeom prst="rect">
                      <a:avLst/>
                    </a:prstGeom>
                  </pic:spPr>
                </pic:pic>
              </a:graphicData>
            </a:graphic>
          </wp:inline>
        </w:drawing>
      </w:r>
    </w:p>
    <w:p w14:paraId="1C107099" w14:textId="77777777" w:rsidR="00DD0F1C" w:rsidRDefault="00DD0F1C" w:rsidP="00A441F1">
      <w:pPr>
        <w:spacing w:line="480" w:lineRule="auto"/>
        <w:rPr>
          <w:rStyle w:val="apple-converted-space"/>
          <w:rFonts w:eastAsia="Times New Roman" w:cs="Arial"/>
          <w:color w:val="222222"/>
          <w:shd w:val="clear" w:color="auto" w:fill="FFFFFF"/>
        </w:rPr>
      </w:pPr>
    </w:p>
    <w:p w14:paraId="14BA2A46" w14:textId="77777777" w:rsidR="00A552DB" w:rsidRDefault="00612E5B" w:rsidP="00A441F1">
      <w:pPr>
        <w:spacing w:line="480" w:lineRule="auto"/>
        <w:ind w:firstLine="720"/>
        <w:rPr>
          <w:rFonts w:cs="Arial"/>
        </w:rPr>
      </w:pPr>
      <w:r w:rsidRPr="00D244C9">
        <w:rPr>
          <w:rStyle w:val="apple-converted-space"/>
          <w:rFonts w:eastAsia="Times New Roman" w:cs="Arial"/>
          <w:color w:val="222222"/>
          <w:shd w:val="clear" w:color="auto" w:fill="FFFFFF"/>
        </w:rPr>
        <w:t xml:space="preserve">Nine days after the initial spill, </w:t>
      </w:r>
      <w:r w:rsidRPr="00D244C9">
        <w:rPr>
          <w:rFonts w:cs="Arial"/>
        </w:rPr>
        <w:t xml:space="preserve">the toxic plume reached Lake Powell in southeastern Utah. </w:t>
      </w:r>
      <w:r w:rsidR="0079285A">
        <w:rPr>
          <w:rFonts w:cs="Arial"/>
        </w:rPr>
        <w:t xml:space="preserve"> All the while,</w:t>
      </w:r>
      <w:r w:rsidRPr="00D244C9">
        <w:rPr>
          <w:rFonts w:cs="Arial"/>
        </w:rPr>
        <w:t xml:space="preserve"> </w:t>
      </w:r>
      <w:r w:rsidR="0079285A">
        <w:rPr>
          <w:rFonts w:cs="Arial"/>
        </w:rPr>
        <w:t>l</w:t>
      </w:r>
      <w:r w:rsidRPr="00D244C9">
        <w:rPr>
          <w:rFonts w:cs="Arial"/>
        </w:rPr>
        <w:t xml:space="preserve">ocal, national, and international media outlets capitalized on the highly </w:t>
      </w:r>
      <w:r w:rsidRPr="00D244C9">
        <w:rPr>
          <w:rFonts w:cs="Arial"/>
        </w:rPr>
        <w:lastRenderedPageBreak/>
        <w:t xml:space="preserve">visible, sensational event. </w:t>
      </w:r>
      <w:r w:rsidR="0079285A">
        <w:rPr>
          <w:rFonts w:cs="Arial"/>
        </w:rPr>
        <w:t xml:space="preserve"> </w:t>
      </w:r>
      <w:r w:rsidR="00A552DB">
        <w:rPr>
          <w:rFonts w:cs="Arial"/>
        </w:rPr>
        <w:t>The</w:t>
      </w:r>
      <w:r w:rsidR="0079285A">
        <w:rPr>
          <w:rFonts w:cs="Arial"/>
        </w:rPr>
        <w:t xml:space="preserve"> seemingly pristine river in scenic and diverse corner of the Southwest had turned into a dayglow</w:t>
      </w:r>
      <w:r w:rsidR="00CE6FBD">
        <w:rPr>
          <w:rFonts w:cs="Arial"/>
        </w:rPr>
        <w:t>-</w:t>
      </w:r>
      <w:r w:rsidR="0079285A">
        <w:rPr>
          <w:rFonts w:cs="Arial"/>
        </w:rPr>
        <w:t xml:space="preserve">orange </w:t>
      </w:r>
      <w:r w:rsidR="00CE6FBD">
        <w:rPr>
          <w:rFonts w:cs="Arial"/>
        </w:rPr>
        <w:t xml:space="preserve">conduit for acidic, heavy metal laden water on an inexorable path to the nation’s second largest reservoir.  </w:t>
      </w:r>
    </w:p>
    <w:p w14:paraId="41B8D687" w14:textId="212E1D95" w:rsidR="00612E5B" w:rsidRPr="00A441F1" w:rsidRDefault="00BB20F2" w:rsidP="00A441F1">
      <w:pPr>
        <w:spacing w:line="480" w:lineRule="auto"/>
        <w:ind w:firstLine="720"/>
        <w:rPr>
          <w:rFonts w:cstheme="minorHAnsi"/>
        </w:rPr>
      </w:pPr>
      <w:r>
        <w:rPr>
          <w:rFonts w:cs="Arial"/>
        </w:rPr>
        <w:t>C</w:t>
      </w:r>
      <w:r w:rsidR="00612E5B" w:rsidRPr="00D244C9">
        <w:rPr>
          <w:rFonts w:cs="Arial"/>
        </w:rPr>
        <w:t xml:space="preserve">alls for a strong political response and policy reforms </w:t>
      </w:r>
      <w:r>
        <w:rPr>
          <w:rFonts w:cs="Arial"/>
        </w:rPr>
        <w:t xml:space="preserve">quickly </w:t>
      </w:r>
      <w:r w:rsidR="00612E5B" w:rsidRPr="00D244C9">
        <w:rPr>
          <w:rFonts w:cs="Arial"/>
        </w:rPr>
        <w:t>materialized, prompting many to reconsider Superfund listing(s) and anticipate additional changes to existing policies</w:t>
      </w:r>
      <w:r w:rsidR="00A552DB">
        <w:rPr>
          <w:rFonts w:cs="Arial"/>
        </w:rPr>
        <w:t xml:space="preserve"> – notable the 1972 Clean Water Act (CWA) and 1872 General Mining Law</w:t>
      </w:r>
      <w:r w:rsidR="00612E5B" w:rsidRPr="00D244C9">
        <w:rPr>
          <w:rFonts w:cs="Arial"/>
        </w:rPr>
        <w:t xml:space="preserve">. </w:t>
      </w:r>
      <w:r w:rsidR="00612E5B">
        <w:rPr>
          <w:rFonts w:cs="Arial"/>
        </w:rPr>
        <w:t xml:space="preserve"> </w:t>
      </w:r>
      <w:r w:rsidR="00612E5B">
        <w:rPr>
          <w:rFonts w:cs="Arial"/>
          <w:color w:val="262626"/>
        </w:rPr>
        <w:t>B</w:t>
      </w:r>
      <w:r w:rsidR="00612E5B" w:rsidRPr="00543157">
        <w:rPr>
          <w:rFonts w:cs="Arial"/>
          <w:color w:val="262626"/>
        </w:rPr>
        <w:t xml:space="preserve">y drawing insights from multiple perspectives, </w:t>
      </w:r>
      <w:r w:rsidR="00FC335E">
        <w:rPr>
          <w:rFonts w:cs="Arial"/>
          <w:color w:val="262626"/>
        </w:rPr>
        <w:t xml:space="preserve">this paper </w:t>
      </w:r>
      <w:r w:rsidR="00FC335E">
        <w:rPr>
          <w:rFonts w:cstheme="minorHAnsi"/>
        </w:rPr>
        <w:t>reflects on a number of ‘lessons learned’ following the dramatic focusing event that was the 2015 Gold King Mine spill.  Along with lingering concerns related to environmental</w:t>
      </w:r>
      <w:r w:rsidR="00A441F1">
        <w:rPr>
          <w:rFonts w:cstheme="minorHAnsi"/>
        </w:rPr>
        <w:t xml:space="preserve"> justice</w:t>
      </w:r>
      <w:r w:rsidR="00FC335E">
        <w:rPr>
          <w:rFonts w:cstheme="minorHAnsi"/>
        </w:rPr>
        <w:t xml:space="preserve"> in downstream </w:t>
      </w:r>
      <w:r w:rsidR="00B61360">
        <w:rPr>
          <w:rFonts w:cstheme="minorHAnsi"/>
        </w:rPr>
        <w:t xml:space="preserve">Native American </w:t>
      </w:r>
      <w:r w:rsidR="00FC335E">
        <w:rPr>
          <w:rFonts w:cstheme="minorHAnsi"/>
        </w:rPr>
        <w:t>communities, these ‘lessons learned’ in</w:t>
      </w:r>
      <w:r w:rsidR="009B463D">
        <w:rPr>
          <w:rFonts w:cstheme="minorHAnsi"/>
        </w:rPr>
        <w:t>volve</w:t>
      </w:r>
      <w:r w:rsidR="00FC335E">
        <w:rPr>
          <w:rFonts w:cstheme="minorHAnsi"/>
        </w:rPr>
        <w:t xml:space="preserve"> the </w:t>
      </w:r>
      <w:r w:rsidR="00606F5E">
        <w:rPr>
          <w:rFonts w:cstheme="minorHAnsi"/>
        </w:rPr>
        <w:t xml:space="preserve">sheer extent of the AMD problem, the </w:t>
      </w:r>
      <w:r w:rsidR="00FC335E">
        <w:rPr>
          <w:rFonts w:cstheme="minorHAnsi"/>
        </w:rPr>
        <w:t>remarkably fast-paced process of official N</w:t>
      </w:r>
      <w:r>
        <w:rPr>
          <w:rFonts w:cstheme="minorHAnsi"/>
        </w:rPr>
        <w:t>ational Priority List (NPL) designation under</w:t>
      </w:r>
      <w:r w:rsidR="00FC335E">
        <w:rPr>
          <w:rFonts w:cstheme="minorHAnsi"/>
        </w:rPr>
        <w:t xml:space="preserve"> Superfund </w:t>
      </w:r>
      <w:r w:rsidR="00A441F1">
        <w:rPr>
          <w:rFonts w:cstheme="minorHAnsi"/>
        </w:rPr>
        <w:t xml:space="preserve">for the </w:t>
      </w:r>
      <w:r w:rsidR="00A552DB">
        <w:rPr>
          <w:rFonts w:cstheme="minorHAnsi"/>
        </w:rPr>
        <w:t xml:space="preserve">area above </w:t>
      </w:r>
      <w:r w:rsidR="00A441F1">
        <w:rPr>
          <w:rFonts w:cstheme="minorHAnsi"/>
        </w:rPr>
        <w:t>Silverton</w:t>
      </w:r>
      <w:r w:rsidR="00606F5E">
        <w:rPr>
          <w:rFonts w:cstheme="minorHAnsi"/>
        </w:rPr>
        <w:t xml:space="preserve"> following the spill</w:t>
      </w:r>
      <w:r w:rsidR="00FC335E">
        <w:rPr>
          <w:rFonts w:cstheme="minorHAnsi"/>
        </w:rPr>
        <w:t xml:space="preserve">; </w:t>
      </w:r>
      <w:r w:rsidR="005A3A35">
        <w:rPr>
          <w:rFonts w:cstheme="minorHAnsi"/>
        </w:rPr>
        <w:t xml:space="preserve">the spill’s overwhelming visual and emotional impacts offset against </w:t>
      </w:r>
      <w:r w:rsidR="00FC335E">
        <w:rPr>
          <w:rFonts w:cstheme="minorHAnsi"/>
        </w:rPr>
        <w:t xml:space="preserve">the relative paucity of </w:t>
      </w:r>
      <w:r w:rsidR="007F440A">
        <w:rPr>
          <w:rFonts w:cstheme="minorHAnsi"/>
        </w:rPr>
        <w:t xml:space="preserve">long-term </w:t>
      </w:r>
      <w:r w:rsidR="00FC335E">
        <w:rPr>
          <w:rFonts w:cstheme="minorHAnsi"/>
        </w:rPr>
        <w:t>ecological and economic impacts;</w:t>
      </w:r>
      <w:r w:rsidR="00A441F1">
        <w:rPr>
          <w:rFonts w:cstheme="minorHAnsi"/>
        </w:rPr>
        <w:t xml:space="preserve"> </w:t>
      </w:r>
      <w:r w:rsidR="00B61360">
        <w:rPr>
          <w:rFonts w:cstheme="minorHAnsi"/>
        </w:rPr>
        <w:t xml:space="preserve">the comparative impact of </w:t>
      </w:r>
      <w:r w:rsidR="007F440A">
        <w:rPr>
          <w:rFonts w:cstheme="minorHAnsi"/>
        </w:rPr>
        <w:t>another</w:t>
      </w:r>
      <w:r w:rsidR="00B61360">
        <w:rPr>
          <w:rFonts w:cstheme="minorHAnsi"/>
        </w:rPr>
        <w:t xml:space="preserve"> crisis-oriented focusing events in the Animas basin; </w:t>
      </w:r>
      <w:r w:rsidR="00FC335E">
        <w:rPr>
          <w:rFonts w:cstheme="minorHAnsi"/>
        </w:rPr>
        <w:t xml:space="preserve">the extent of political mobilization both prior to and after the </w:t>
      </w:r>
      <w:r w:rsidR="00B61360">
        <w:rPr>
          <w:rFonts w:cstheme="minorHAnsi"/>
        </w:rPr>
        <w:t xml:space="preserve">GKM </w:t>
      </w:r>
      <w:r w:rsidR="00FC335E">
        <w:rPr>
          <w:rFonts w:cstheme="minorHAnsi"/>
        </w:rPr>
        <w:t xml:space="preserve">spill; and </w:t>
      </w:r>
      <w:r w:rsidR="00D87D1A">
        <w:rPr>
          <w:rFonts w:cstheme="minorHAnsi"/>
        </w:rPr>
        <w:t>contention</w:t>
      </w:r>
      <w:r w:rsidR="00FC335E">
        <w:rPr>
          <w:rFonts w:cstheme="minorHAnsi"/>
        </w:rPr>
        <w:t xml:space="preserve"> over </w:t>
      </w:r>
      <w:r w:rsidR="007F440A">
        <w:rPr>
          <w:rFonts w:cstheme="minorHAnsi"/>
        </w:rPr>
        <w:t xml:space="preserve">the U.S. </w:t>
      </w:r>
      <w:r w:rsidR="00FC335E">
        <w:rPr>
          <w:rFonts w:cstheme="minorHAnsi"/>
        </w:rPr>
        <w:t>E</w:t>
      </w:r>
      <w:r w:rsidR="007F440A">
        <w:rPr>
          <w:rFonts w:cstheme="minorHAnsi"/>
        </w:rPr>
        <w:t>nvironmental Protection Agency’s (EPA)</w:t>
      </w:r>
      <w:r w:rsidR="00FC335E">
        <w:rPr>
          <w:rFonts w:cstheme="minorHAnsi"/>
        </w:rPr>
        <w:t xml:space="preserve"> Interim Remedi</w:t>
      </w:r>
      <w:r w:rsidR="00D87D1A">
        <w:rPr>
          <w:rFonts w:cstheme="minorHAnsi"/>
        </w:rPr>
        <w:t>al Actions plan</w:t>
      </w:r>
      <w:r w:rsidR="00FC335E">
        <w:rPr>
          <w:rFonts w:cstheme="minorHAnsi"/>
        </w:rPr>
        <w:t>.</w:t>
      </w:r>
    </w:p>
    <w:p w14:paraId="6B0AE05E" w14:textId="1166CAF0" w:rsidR="00612E5B" w:rsidRPr="00D244C9" w:rsidRDefault="00612E5B" w:rsidP="00612E5B">
      <w:pPr>
        <w:spacing w:line="480" w:lineRule="auto"/>
        <w:ind w:firstLine="720"/>
        <w:rPr>
          <w:rFonts w:cs="Times New Roman"/>
        </w:rPr>
      </w:pPr>
      <w:r w:rsidRPr="00D244C9">
        <w:rPr>
          <w:rFonts w:cs="Arial"/>
        </w:rPr>
        <w:t xml:space="preserve">As luck would have it, the federal agency in charge of implementing and enforcing many of the nation’s most prolific environmental laws accidentally triggered the GKM blowout.  EPA had contracted with a third party (Pennsylvania-based Weston Solutions, Inc.) to perform exploratory excavation work to </w:t>
      </w:r>
      <w:r w:rsidRPr="00D244C9">
        <w:rPr>
          <w:rFonts w:cs="Times New Roman"/>
        </w:rPr>
        <w:t>investigate conditions at GKM and assess</w:t>
      </w:r>
      <w:r w:rsidR="007F440A">
        <w:rPr>
          <w:rFonts w:cs="Times New Roman"/>
        </w:rPr>
        <w:t xml:space="preserve"> </w:t>
      </w:r>
      <w:r w:rsidRPr="00D244C9">
        <w:rPr>
          <w:rFonts w:cs="Times New Roman"/>
        </w:rPr>
        <w:t xml:space="preserve">ongoing </w:t>
      </w:r>
      <w:r w:rsidR="000844A2">
        <w:rPr>
          <w:rFonts w:cs="Times New Roman"/>
        </w:rPr>
        <w:t xml:space="preserve">AMD </w:t>
      </w:r>
      <w:r w:rsidRPr="00D244C9">
        <w:rPr>
          <w:rFonts w:cs="Times New Roman"/>
        </w:rPr>
        <w:t xml:space="preserve">releases.  EPA was quick to assume full responsibility </w:t>
      </w:r>
      <w:r w:rsidR="000844A2">
        <w:rPr>
          <w:rFonts w:cs="Times New Roman"/>
        </w:rPr>
        <w:t xml:space="preserve">for the spill </w:t>
      </w:r>
      <w:r w:rsidRPr="00D244C9">
        <w:rPr>
          <w:rFonts w:cs="Times New Roman"/>
        </w:rPr>
        <w:t xml:space="preserve">and then-administrator Gina </w:t>
      </w:r>
      <w:r w:rsidRPr="00D244C9">
        <w:rPr>
          <w:rFonts w:cs="Times New Roman"/>
        </w:rPr>
        <w:lastRenderedPageBreak/>
        <w:t xml:space="preserve">McCarthy made multiple visits to affected areas, extending apologies for her agency’s </w:t>
      </w:r>
      <w:r w:rsidR="00BB20F2">
        <w:rPr>
          <w:rFonts w:cs="Times New Roman"/>
        </w:rPr>
        <w:t>failed actions.</w:t>
      </w:r>
    </w:p>
    <w:p w14:paraId="1B4E627F" w14:textId="6D71A65E" w:rsidR="00612E5B" w:rsidRDefault="00612E5B" w:rsidP="00612E5B">
      <w:pPr>
        <w:spacing w:line="480" w:lineRule="auto"/>
        <w:ind w:firstLine="720"/>
        <w:rPr>
          <w:rFonts w:cs="Times New Roman"/>
        </w:rPr>
      </w:pPr>
      <w:r w:rsidRPr="00D244C9">
        <w:rPr>
          <w:rFonts w:cs="Times New Roman"/>
        </w:rPr>
        <w:t>In a region where local distrust of EPA is common and opposition to federally led cleanup of abandoned mines has been longstanding, McCarthy’s regret for her agency’s actions was met with mixed reactions.  Some longtime area residents even suggested that EPA’s actions were deliberate</w:t>
      </w:r>
      <w:r w:rsidR="007F440A">
        <w:rPr>
          <w:rFonts w:cs="Times New Roman"/>
        </w:rPr>
        <w:t xml:space="preserve">, </w:t>
      </w:r>
      <w:r w:rsidR="00EC52DE" w:rsidRPr="00D244C9">
        <w:rPr>
          <w:rFonts w:cs="Times New Roman"/>
        </w:rPr>
        <w:t>intended</w:t>
      </w:r>
      <w:r w:rsidRPr="00D244C9">
        <w:rPr>
          <w:rFonts w:cs="Times New Roman"/>
        </w:rPr>
        <w:t xml:space="preserve"> to </w:t>
      </w:r>
      <w:r w:rsidRPr="00D244C9">
        <w:rPr>
          <w:rFonts w:cs="Times New Roman"/>
          <w:i/>
        </w:rPr>
        <w:t>force</w:t>
      </w:r>
      <w:r w:rsidRPr="00D244C9">
        <w:rPr>
          <w:rFonts w:cs="Times New Roman"/>
        </w:rPr>
        <w:t xml:space="preserve"> federal cleanup upon the Upper Animas River watershed, effectively ending any future mining operations.  According to one longtime Silverton resident, “I’m afraid of the EPA.  They’re too powerful.  There’s suspicion on my part that now the EPA is sitting judge and jury to decide the outcome of a fate that is a result of their negligence.”</w:t>
      </w:r>
      <w:r w:rsidRPr="00D244C9">
        <w:rPr>
          <w:rStyle w:val="EndnoteReference"/>
          <w:rFonts w:cs="Times New Roman"/>
          <w:sz w:val="20"/>
          <w:szCs w:val="20"/>
        </w:rPr>
        <w:endnoteReference w:id="6"/>
      </w:r>
    </w:p>
    <w:p w14:paraId="3C0865A0" w14:textId="0E481E1A" w:rsidR="00C4433D" w:rsidRDefault="00C4433D" w:rsidP="00C4433D">
      <w:pPr>
        <w:pStyle w:val="ListParagraph"/>
        <w:numPr>
          <w:ilvl w:val="0"/>
          <w:numId w:val="3"/>
        </w:numPr>
        <w:spacing w:line="480" w:lineRule="auto"/>
        <w:rPr>
          <w:rFonts w:cs="Times New Roman"/>
          <w:b/>
        </w:rPr>
      </w:pPr>
      <w:r>
        <w:rPr>
          <w:rFonts w:cs="Times New Roman"/>
          <w:b/>
        </w:rPr>
        <w:t xml:space="preserve"> Extent of the AMD Problem</w:t>
      </w:r>
    </w:p>
    <w:p w14:paraId="72EF5544" w14:textId="7E1BCE22" w:rsidR="00606F5E" w:rsidRDefault="00C0162E" w:rsidP="00CD04CD">
      <w:pPr>
        <w:spacing w:line="480" w:lineRule="auto"/>
        <w:ind w:firstLine="720"/>
        <w:rPr>
          <w:rFonts w:cs="Arial"/>
        </w:rPr>
      </w:pPr>
      <w:r>
        <w:rPr>
          <w:rFonts w:cs="Arial"/>
        </w:rPr>
        <w:t>The dramatic discoloration of the Animas River shortly after the 2015 GKM spill and the ensuring media firestorm</w:t>
      </w:r>
      <w:r w:rsidR="004F19C6">
        <w:rPr>
          <w:rFonts w:cs="Arial"/>
        </w:rPr>
        <w:t xml:space="preserve"> </w:t>
      </w:r>
      <w:r w:rsidR="00606F5E">
        <w:rPr>
          <w:rFonts w:cs="Arial"/>
        </w:rPr>
        <w:t xml:space="preserve">caused levels of concern over </w:t>
      </w:r>
      <w:r>
        <w:rPr>
          <w:rFonts w:cs="Arial"/>
        </w:rPr>
        <w:t xml:space="preserve">the problem of AMD </w:t>
      </w:r>
      <w:r w:rsidR="00606F5E">
        <w:rPr>
          <w:rFonts w:cs="Arial"/>
        </w:rPr>
        <w:t xml:space="preserve">to </w:t>
      </w:r>
      <w:r>
        <w:rPr>
          <w:rFonts w:cs="Arial"/>
        </w:rPr>
        <w:t xml:space="preserve">spike, both nationally and internationally.  </w:t>
      </w:r>
      <w:r w:rsidR="00606F5E">
        <w:rPr>
          <w:rFonts w:cs="Arial"/>
        </w:rPr>
        <w:t>The January 2019 collapse of an iron ore tailings dam in Brazil, which released more than 984,000 cubic feet of waste and killed at least 37 people, had a similar effect.</w:t>
      </w:r>
    </w:p>
    <w:p w14:paraId="4EAAA9EB" w14:textId="327134FD" w:rsidR="00CD04CD" w:rsidRDefault="00606F5E" w:rsidP="00CD04CD">
      <w:pPr>
        <w:spacing w:line="480" w:lineRule="auto"/>
        <w:ind w:firstLine="720"/>
        <w:rPr>
          <w:rFonts w:cs="Arial"/>
        </w:rPr>
      </w:pPr>
      <w:r>
        <w:rPr>
          <w:rFonts w:cs="Arial"/>
        </w:rPr>
        <w:t>In the U.S., there are a</w:t>
      </w:r>
      <w:r w:rsidR="00C82518">
        <w:rPr>
          <w:rFonts w:cs="Arial"/>
        </w:rPr>
        <w:t>t least 12,500-miles of rivers and streams</w:t>
      </w:r>
      <w:r>
        <w:rPr>
          <w:rFonts w:cs="Arial"/>
        </w:rPr>
        <w:t xml:space="preserve"> negatively</w:t>
      </w:r>
      <w:r w:rsidR="00C82518">
        <w:rPr>
          <w:rFonts w:cs="Arial"/>
        </w:rPr>
        <w:t xml:space="preserve"> impacted by AMD; roughly 90% of this pollution originates in abandoned surface and hardrock mines (Skousen et al. 2000).  Oftentimes, there are no identifiable individuals or companies with responsibility for reclaiming abandoned mine lands and as a result, little-to-no treatment of the AMD occurs and </w:t>
      </w:r>
      <w:r w:rsidR="00CD04CD">
        <w:rPr>
          <w:rFonts w:cs="Arial"/>
        </w:rPr>
        <w:t>the continued contamination of surface and groundwater resources results.  From mine sites still in operation, m</w:t>
      </w:r>
      <w:r w:rsidR="00CD04CD" w:rsidRPr="00C4433D">
        <w:rPr>
          <w:rFonts w:cs="Arial"/>
        </w:rPr>
        <w:t xml:space="preserve">illions of dollars are lost each year from the paucity of </w:t>
      </w:r>
      <w:r w:rsidR="00CD04CD" w:rsidRPr="00C4433D">
        <w:rPr>
          <w:rFonts w:cs="Arial"/>
        </w:rPr>
        <w:lastRenderedPageBreak/>
        <w:t>royalties paid by private enterprises on the wealth extracted</w:t>
      </w:r>
      <w:r w:rsidR="00CD04CD">
        <w:rPr>
          <w:rFonts w:cs="Arial"/>
        </w:rPr>
        <w:t>, oftentimes</w:t>
      </w:r>
      <w:r w:rsidR="00CD04CD" w:rsidRPr="00C4433D">
        <w:rPr>
          <w:rFonts w:cs="Arial"/>
        </w:rPr>
        <w:t xml:space="preserve"> from beneath the public domain.  </w:t>
      </w:r>
    </w:p>
    <w:p w14:paraId="7FB793D3" w14:textId="5AAB651F" w:rsidR="00C4433D" w:rsidRDefault="00CD04CD" w:rsidP="00CD04CD">
      <w:pPr>
        <w:spacing w:line="480" w:lineRule="auto"/>
        <w:ind w:firstLine="720"/>
        <w:rPr>
          <w:rFonts w:cs="Arial"/>
        </w:rPr>
      </w:pPr>
      <w:r>
        <w:rPr>
          <w:rFonts w:cs="Arial"/>
        </w:rPr>
        <w:t xml:space="preserve">In the American West, </w:t>
      </w:r>
      <w:r w:rsidR="00C0162E">
        <w:rPr>
          <w:rFonts w:cs="Arial"/>
        </w:rPr>
        <w:t xml:space="preserve">an estimated </w:t>
      </w:r>
      <w:r w:rsidR="00C4433D" w:rsidRPr="00C4433D">
        <w:rPr>
          <w:rFonts w:cs="Arial"/>
        </w:rPr>
        <w:t xml:space="preserve">500,000 abandoned hardrock mines are scattered across the American West, a legacy of the boom-and-bust cycle of resource development. Estimates for comprehensive cleanup range from $36 – $72 billion (Moyer 2016).   </w:t>
      </w:r>
      <w:r w:rsidRPr="00C4433D">
        <w:rPr>
          <w:rFonts w:cs="Arial"/>
        </w:rPr>
        <w:t>Ever since manifest destiny lured explorers and fortune seekers West, profits from hardrock mining have been privatized, while environmental impacts remained socialized – culminating in what Pulitzer Prize winning historian Vernon Parrington referred to as “The Great Barbecue” of the American West (Parrington, 1930).</w:t>
      </w:r>
      <w:r>
        <w:rPr>
          <w:rFonts w:cs="Arial"/>
        </w:rPr>
        <w:t xml:space="preserve">  </w:t>
      </w:r>
      <w:r w:rsidR="00C4433D" w:rsidRPr="00C4433D">
        <w:rPr>
          <w:rFonts w:cs="Arial"/>
        </w:rPr>
        <w:t xml:space="preserve">At many mine sites, acidic mixes of heavy metals have drained unchecked for decades from the myriad of shafts, tunnels, and portals (or so-called </w:t>
      </w:r>
      <w:proofErr w:type="spellStart"/>
      <w:r w:rsidR="00C4433D" w:rsidRPr="00C4433D">
        <w:rPr>
          <w:rFonts w:cs="Arial"/>
        </w:rPr>
        <w:t>adits</w:t>
      </w:r>
      <w:proofErr w:type="spellEnd"/>
      <w:r w:rsidR="00C4433D" w:rsidRPr="00C4433D">
        <w:rPr>
          <w:rFonts w:cs="Arial"/>
        </w:rPr>
        <w:t>).</w:t>
      </w:r>
      <w:r w:rsidR="00C4433D" w:rsidRPr="00783095">
        <w:rPr>
          <w:rStyle w:val="EndnoteReference"/>
          <w:rFonts w:cs="Arial"/>
          <w:sz w:val="20"/>
          <w:szCs w:val="20"/>
        </w:rPr>
        <w:endnoteReference w:id="7"/>
      </w:r>
      <w:r w:rsidR="00C4433D" w:rsidRPr="00C4433D">
        <w:rPr>
          <w:rFonts w:cs="Arial"/>
        </w:rPr>
        <w:t xml:space="preserve">  According to the U.S. Environmental Protection Agency (EPA), abandoned hardrock mines affect some-40% of headwaters in the western US; an additional 180,000 acres of lakes and reservoirs are estimated to have been impacted (Limerick, et al., 2005).   And since many of these affected waters are sourced from and/or flow across public lands, the lost revenue for communities with economies heavily dependent on any array of outdoor activities (e.g., angling, hiking, boating) is substantial.</w:t>
      </w:r>
      <w:r w:rsidR="00C4433D" w:rsidRPr="00783095">
        <w:rPr>
          <w:rStyle w:val="EndnoteReference"/>
          <w:rFonts w:cs="Arial"/>
          <w:sz w:val="20"/>
          <w:szCs w:val="20"/>
        </w:rPr>
        <w:endnoteReference w:id="8"/>
      </w:r>
      <w:r w:rsidR="00C4433D" w:rsidRPr="00C4433D">
        <w:rPr>
          <w:rFonts w:cs="Arial"/>
        </w:rPr>
        <w:t xml:space="preserve">  </w:t>
      </w:r>
    </w:p>
    <w:p w14:paraId="38F96E7A" w14:textId="01319D46" w:rsidR="00CD04CD" w:rsidRPr="004357D8" w:rsidRDefault="00CD04CD" w:rsidP="00CD04CD">
      <w:pPr>
        <w:spacing w:line="480" w:lineRule="auto"/>
        <w:ind w:firstLine="720"/>
        <w:rPr>
          <w:rFonts w:cs="Arial"/>
        </w:rPr>
      </w:pPr>
      <w:r>
        <w:rPr>
          <w:rFonts w:cs="Arial"/>
        </w:rPr>
        <w:t>A recent study by the Associated Press</w:t>
      </w:r>
      <w:r w:rsidR="004357D8">
        <w:rPr>
          <w:rFonts w:cs="Arial"/>
        </w:rPr>
        <w:t xml:space="preserve"> (AP)</w:t>
      </w:r>
      <w:r>
        <w:rPr>
          <w:rFonts w:cs="Arial"/>
        </w:rPr>
        <w:t xml:space="preserve">, </w:t>
      </w:r>
      <w:r w:rsidR="004357D8">
        <w:rPr>
          <w:rFonts w:cs="Arial"/>
        </w:rPr>
        <w:t>examined 43 mining sites under federal oversight; some sites contained dozens or hundreds of individual mines.</w:t>
      </w:r>
      <w:r w:rsidR="00C0162E" w:rsidRPr="00783095">
        <w:rPr>
          <w:rStyle w:val="EndnoteReference"/>
          <w:rFonts w:cs="Arial"/>
          <w:sz w:val="20"/>
          <w:szCs w:val="20"/>
        </w:rPr>
        <w:endnoteReference w:id="9"/>
      </w:r>
      <w:r w:rsidR="004357D8">
        <w:rPr>
          <w:rFonts w:cs="Arial"/>
        </w:rPr>
        <w:t xml:space="preserve">  Based on data obtained from public records requests, the AP reported that on average, more than 50-million gallons of AMD are released </w:t>
      </w:r>
      <w:r w:rsidR="004357D8">
        <w:rPr>
          <w:rFonts w:cs="Arial"/>
          <w:i/>
        </w:rPr>
        <w:t>daily</w:t>
      </w:r>
      <w:r w:rsidR="004357D8">
        <w:rPr>
          <w:rFonts w:cs="Arial"/>
        </w:rPr>
        <w:t xml:space="preserve"> at these sites, with nearly 50% of pollution flowing untreated into surrounding waterways and aquifers – resulting in some-20 million gallons of AMD per day.  This daily dose of pollution could fill more than 2,000 tanker trucks.  And at least six of the 43 </w:t>
      </w:r>
      <w:r w:rsidR="004357D8">
        <w:rPr>
          <w:rFonts w:cs="Arial"/>
        </w:rPr>
        <w:lastRenderedPageBreak/>
        <w:t>sites, EPA officials warned of imminent blowouts on par with that which happened in</w:t>
      </w:r>
      <w:r w:rsidR="00606F5E">
        <w:rPr>
          <w:rFonts w:cs="Arial"/>
        </w:rPr>
        <w:t xml:space="preserve"> </w:t>
      </w:r>
      <w:r w:rsidR="004357D8">
        <w:rPr>
          <w:rFonts w:cs="Arial"/>
        </w:rPr>
        <w:t>2015 at GKM.</w:t>
      </w:r>
    </w:p>
    <w:p w14:paraId="4F9E13D0" w14:textId="77777777" w:rsidR="00CD04CD" w:rsidRPr="00D244C9" w:rsidRDefault="00CD04CD" w:rsidP="00CD04CD">
      <w:pPr>
        <w:spacing w:line="480" w:lineRule="auto"/>
        <w:ind w:firstLine="720"/>
        <w:textAlignment w:val="baseline"/>
        <w:rPr>
          <w:rFonts w:eastAsia="Times New Roman" w:cstheme="minorHAnsi"/>
          <w:color w:val="000000" w:themeColor="text1"/>
        </w:rPr>
      </w:pPr>
      <w:r w:rsidRPr="00D244C9">
        <w:rPr>
          <w:rFonts w:cs="Arial"/>
        </w:rPr>
        <w:t xml:space="preserve">In Colorado alone, the Division of Reclamation, Mining, and Safety (CDRMS) estimates there are </w:t>
      </w:r>
      <w:r w:rsidRPr="00D244C9">
        <w:rPr>
          <w:rFonts w:cs="Arial"/>
          <w:i/>
        </w:rPr>
        <w:t>at least</w:t>
      </w:r>
      <w:r w:rsidRPr="00D244C9">
        <w:rPr>
          <w:rFonts w:cs="Arial"/>
        </w:rPr>
        <w:t xml:space="preserve"> 23,000 abandoned hardrock mine lands – classified as  lands where mines operated prior to 1975, when the state began to establish limited forms of mining and reclamation standards.  Today, these hardrock mine lands impact water quality in approximately 1,645-miles of streams and rivers.</w:t>
      </w:r>
      <w:r w:rsidRPr="00D244C9">
        <w:rPr>
          <w:rStyle w:val="EndnoteReference"/>
          <w:rFonts w:cs="Arial"/>
          <w:sz w:val="20"/>
          <w:szCs w:val="20"/>
        </w:rPr>
        <w:endnoteReference w:id="10"/>
      </w:r>
      <w:r w:rsidRPr="00D244C9">
        <w:rPr>
          <w:rFonts w:cs="Arial"/>
          <w:sz w:val="20"/>
          <w:szCs w:val="20"/>
        </w:rPr>
        <w:t xml:space="preserve"> </w:t>
      </w:r>
      <w:r w:rsidRPr="00D244C9">
        <w:rPr>
          <w:rFonts w:cs="Arial"/>
        </w:rPr>
        <w:t xml:space="preserve"> </w:t>
      </w:r>
    </w:p>
    <w:p w14:paraId="3C276D6F" w14:textId="2817B607" w:rsidR="00CD04CD" w:rsidRPr="00CD04CD" w:rsidRDefault="00CD04CD" w:rsidP="00C0162E">
      <w:pPr>
        <w:spacing w:line="480" w:lineRule="auto"/>
        <w:ind w:firstLine="720"/>
        <w:rPr>
          <w:rFonts w:cs="Arial"/>
        </w:rPr>
      </w:pPr>
      <w:r w:rsidRPr="00D244C9">
        <w:rPr>
          <w:rFonts w:cs="Arial"/>
        </w:rPr>
        <w:t xml:space="preserve">Remediation efforts have been mixed, often stymied by a combination of outdated laws, funding woes, and ill-enforced regulations.  Local politics, persistent NIMBY-ism, and liability concerns have further frustrated policy development and comprehensive restoration efforts – including National Priority List (NPL) designation under the Comprehensive Environmental Response, Compensation, and Liability Act (CERCLA) – henceforth referred to as Superfund.  All the while, acid mine drainage (AMD) from many of these ‘ticking time bombs’ has contaminated watersheds and river basins upon which tens of millions of Westerners increasingly depend. </w:t>
      </w:r>
    </w:p>
    <w:p w14:paraId="68A32067" w14:textId="27E30282" w:rsidR="008B2293" w:rsidRPr="001600C7" w:rsidRDefault="008B2293" w:rsidP="001600C7">
      <w:pPr>
        <w:spacing w:line="480" w:lineRule="auto"/>
        <w:rPr>
          <w:rFonts w:cs="Times New Roman"/>
          <w:b/>
        </w:rPr>
      </w:pPr>
      <w:r w:rsidRPr="001600C7">
        <w:rPr>
          <w:rFonts w:cs="Times New Roman"/>
          <w:b/>
        </w:rPr>
        <w:t>Focusing Events and Policy Development</w:t>
      </w:r>
    </w:p>
    <w:p w14:paraId="57C2FBF0" w14:textId="5FA898FC" w:rsidR="008B2293" w:rsidRPr="008B2293" w:rsidRDefault="008B2293" w:rsidP="008B2293">
      <w:pPr>
        <w:spacing w:line="480" w:lineRule="auto"/>
        <w:rPr>
          <w:rFonts w:cs="Times New Roman"/>
          <w:b/>
        </w:rPr>
      </w:pPr>
      <w:r w:rsidRPr="00077EDF">
        <w:rPr>
          <w:rFonts w:cs="Arial"/>
        </w:rPr>
        <w:t>According to</w:t>
      </w:r>
      <w:r w:rsidR="00CE6FBD">
        <w:rPr>
          <w:rFonts w:cs="Arial"/>
        </w:rPr>
        <w:t xml:space="preserve"> prevailing</w:t>
      </w:r>
      <w:r w:rsidR="000844A2">
        <w:rPr>
          <w:rFonts w:cs="Arial"/>
        </w:rPr>
        <w:t xml:space="preserve"> </w:t>
      </w:r>
      <w:r w:rsidRPr="00077EDF">
        <w:rPr>
          <w:rFonts w:cs="Arial"/>
        </w:rPr>
        <w:t>literature, focusing events are sudden, dramatic, and relatively rare occurrences that simultaneously attract the attention of policymakers and the general pub</w:t>
      </w:r>
      <w:r>
        <w:rPr>
          <w:rFonts w:cs="Arial"/>
        </w:rPr>
        <w:t>l</w:t>
      </w:r>
      <w:r w:rsidRPr="00077EDF">
        <w:rPr>
          <w:rFonts w:cs="Arial"/>
        </w:rPr>
        <w:t>ic</w:t>
      </w:r>
      <w:r>
        <w:rPr>
          <w:rFonts w:cs="Arial"/>
        </w:rPr>
        <w:t xml:space="preserve"> (e.g., Birkland 1997; 1998; 200</w:t>
      </w:r>
      <w:r w:rsidR="00C12E1B">
        <w:rPr>
          <w:rFonts w:cs="Arial"/>
        </w:rPr>
        <w:t>7</w:t>
      </w:r>
      <w:r>
        <w:rPr>
          <w:rFonts w:cs="Arial"/>
        </w:rPr>
        <w:t xml:space="preserve">; Kingdon </w:t>
      </w:r>
      <w:r w:rsidR="00F56A9D">
        <w:rPr>
          <w:rFonts w:cs="Arial"/>
        </w:rPr>
        <w:t>2003</w:t>
      </w:r>
      <w:r>
        <w:rPr>
          <w:rFonts w:cs="Arial"/>
        </w:rPr>
        <w:t>)</w:t>
      </w:r>
      <w:r w:rsidRPr="00077EDF">
        <w:rPr>
          <w:rFonts w:cs="Arial"/>
        </w:rPr>
        <w:t xml:space="preserve">.  They often involve crises, including natural or human-made disasters, terrorist attacks, or commercial airline crashes. Their dramatic, crisis-oriented images provide </w:t>
      </w:r>
      <w:r>
        <w:rPr>
          <w:rFonts w:cs="Arial"/>
        </w:rPr>
        <w:t xml:space="preserve">those seeking policy change </w:t>
      </w:r>
      <w:r w:rsidRPr="00077EDF">
        <w:rPr>
          <w:rFonts w:cs="Arial"/>
        </w:rPr>
        <w:t>with opportunities to convey their perceptions of policy failures to broader audiences and ultimately, bolster the attempts of pro-</w:t>
      </w:r>
      <w:r w:rsidRPr="00077EDF">
        <w:rPr>
          <w:rFonts w:cs="Arial"/>
        </w:rPr>
        <w:lastRenderedPageBreak/>
        <w:t xml:space="preserve">change </w:t>
      </w:r>
      <w:r>
        <w:rPr>
          <w:rFonts w:cs="Arial"/>
        </w:rPr>
        <w:t xml:space="preserve">groups or </w:t>
      </w:r>
      <w:r w:rsidRPr="00077EDF">
        <w:rPr>
          <w:rFonts w:cs="Arial"/>
        </w:rPr>
        <w:t xml:space="preserve">coalitions to pursue change in the status quo for a given policy area.  </w:t>
      </w:r>
      <w:r w:rsidR="00CE6FBD">
        <w:rPr>
          <w:rFonts w:cs="Arial"/>
        </w:rPr>
        <w:t>Agenda setting and/or p</w:t>
      </w:r>
      <w:r w:rsidRPr="00077EDF">
        <w:rPr>
          <w:rFonts w:cs="Arial"/>
        </w:rPr>
        <w:t xml:space="preserve">olicy </w:t>
      </w:r>
      <w:r w:rsidR="00EA4710">
        <w:rPr>
          <w:rFonts w:cs="Arial"/>
        </w:rPr>
        <w:t xml:space="preserve">development and </w:t>
      </w:r>
      <w:r w:rsidRPr="00077EDF">
        <w:rPr>
          <w:rFonts w:cs="Arial"/>
        </w:rPr>
        <w:t>change</w:t>
      </w:r>
      <w:r w:rsidR="00CE6FBD">
        <w:rPr>
          <w:rFonts w:cs="Arial"/>
        </w:rPr>
        <w:t xml:space="preserve"> may follow</w:t>
      </w:r>
      <w:r w:rsidRPr="00077EDF">
        <w:rPr>
          <w:rFonts w:cs="Arial"/>
        </w:rPr>
        <w:t xml:space="preserve">, </w:t>
      </w:r>
      <w:r w:rsidR="00CE6FBD">
        <w:rPr>
          <w:rFonts w:cs="Arial"/>
        </w:rPr>
        <w:t xml:space="preserve">albeit in </w:t>
      </w:r>
      <w:r w:rsidRPr="00077EDF">
        <w:rPr>
          <w:rFonts w:cs="Arial"/>
        </w:rPr>
        <w:t>different forms</w:t>
      </w:r>
      <w:r w:rsidR="00CE6FBD">
        <w:rPr>
          <w:rFonts w:cs="Arial"/>
        </w:rPr>
        <w:t xml:space="preserve"> and magnitudes</w:t>
      </w:r>
      <w:r w:rsidRPr="00077EDF">
        <w:rPr>
          <w:rFonts w:cs="Arial"/>
        </w:rPr>
        <w:t xml:space="preserve">.  </w:t>
      </w:r>
      <w:r w:rsidR="00CE6FBD">
        <w:rPr>
          <w:rFonts w:cs="Arial"/>
        </w:rPr>
        <w:t>Following in the path of Birkland (200</w:t>
      </w:r>
      <w:r w:rsidR="00F56A9D">
        <w:rPr>
          <w:rFonts w:cs="Arial"/>
        </w:rPr>
        <w:t>7</w:t>
      </w:r>
      <w:r w:rsidR="00CE6FBD">
        <w:rPr>
          <w:rFonts w:cs="Arial"/>
        </w:rPr>
        <w:t>), th</w:t>
      </w:r>
      <w:r w:rsidR="00BB20F2">
        <w:rPr>
          <w:rFonts w:cs="Arial"/>
        </w:rPr>
        <w:t xml:space="preserve">e </w:t>
      </w:r>
      <w:r w:rsidR="00CE6FBD">
        <w:rPr>
          <w:rFonts w:cs="Arial"/>
        </w:rPr>
        <w:t>main consideration in this paper is actual policy change after disaster, not just agenda setting</w:t>
      </w:r>
      <w:r w:rsidR="0098746F">
        <w:rPr>
          <w:rFonts w:cs="Arial"/>
        </w:rPr>
        <w:t xml:space="preserve">; the policy option of Superfund designation in the Upper Animas watershed had been on the agenda since the mid-1990s, yet </w:t>
      </w:r>
      <w:r w:rsidR="007F440A">
        <w:rPr>
          <w:rFonts w:cs="Arial"/>
        </w:rPr>
        <w:t xml:space="preserve">persistent NIMBY-ism combined with </w:t>
      </w:r>
      <w:r w:rsidR="0098746F">
        <w:rPr>
          <w:rFonts w:cs="Arial"/>
        </w:rPr>
        <w:t xml:space="preserve">local preference for nonfederal, stakeholder-led remediation efforts effectively prohibited policy development in the direction of comprehensive, federally-led cleanup.  The following are a </w:t>
      </w:r>
      <w:r w:rsidR="00CE6FBD">
        <w:rPr>
          <w:rFonts w:cs="Arial"/>
        </w:rPr>
        <w:t>variety of examples</w:t>
      </w:r>
      <w:r w:rsidR="0098746F">
        <w:rPr>
          <w:rFonts w:cs="Arial"/>
        </w:rPr>
        <w:t xml:space="preserve"> of substantive policy change following a notable, crisis-oriented focusing event</w:t>
      </w:r>
      <w:r w:rsidRPr="00077EDF">
        <w:rPr>
          <w:rFonts w:cs="Arial"/>
        </w:rPr>
        <w:t xml:space="preserve">.  </w:t>
      </w:r>
    </w:p>
    <w:p w14:paraId="2B1AB5F1" w14:textId="5E4E6DEE" w:rsidR="008B2293" w:rsidRPr="00C56ABE" w:rsidRDefault="008B2293" w:rsidP="00C56ABE">
      <w:pPr>
        <w:spacing w:line="480" w:lineRule="auto"/>
        <w:ind w:firstLine="720"/>
        <w:rPr>
          <w:rFonts w:eastAsia="Times New Roman" w:cs="Times New Roman"/>
        </w:rPr>
      </w:pPr>
      <w:r w:rsidRPr="00077EDF">
        <w:rPr>
          <w:rFonts w:cs="Arial"/>
        </w:rPr>
        <w:t xml:space="preserve">After the 1989 Exxon </w:t>
      </w:r>
      <w:r w:rsidRPr="00077EDF">
        <w:rPr>
          <w:rFonts w:cs="Arial"/>
          <w:i/>
        </w:rPr>
        <w:t>Valdez</w:t>
      </w:r>
      <w:r w:rsidRPr="00077EDF">
        <w:rPr>
          <w:rFonts w:cs="Arial"/>
        </w:rPr>
        <w:t xml:space="preserve"> oil spill in Alaska’s Prince William Sound, the U.S. Congress passed the Oil Pollution Act of 1990, which called for the phasing out of </w:t>
      </w:r>
      <w:r w:rsidR="00327AA3">
        <w:rPr>
          <w:rFonts w:cs="Arial"/>
        </w:rPr>
        <w:t xml:space="preserve">all </w:t>
      </w:r>
      <w:r w:rsidRPr="00077EDF">
        <w:rPr>
          <w:rFonts w:cs="Arial"/>
        </w:rPr>
        <w:t xml:space="preserve">single-hull tankers </w:t>
      </w:r>
      <w:r w:rsidR="00327AA3">
        <w:rPr>
          <w:rFonts w:cs="Arial"/>
        </w:rPr>
        <w:t>in U.S. waters by 2010</w:t>
      </w:r>
      <w:r w:rsidRPr="00077EDF">
        <w:rPr>
          <w:rFonts w:cs="Arial"/>
        </w:rPr>
        <w:t xml:space="preserve">.  This represents the type of policy change defined by the </w:t>
      </w:r>
      <w:r w:rsidRPr="00077EDF">
        <w:rPr>
          <w:rFonts w:cs="Arial"/>
          <w:i/>
        </w:rPr>
        <w:t xml:space="preserve">adoption </w:t>
      </w:r>
      <w:r w:rsidRPr="00077EDF">
        <w:rPr>
          <w:rFonts w:cs="Arial"/>
        </w:rPr>
        <w:t xml:space="preserve">of new legislation.  Prior to this in 1969, the then-largest oil spill in U.S. waters occurred off the California coast in the Santa Barbara Channel.  In the nearly 50 years since the dramatic event, no new leases for offshore drilling have been issued by the California State Lands Commission </w:t>
      </w:r>
      <w:r w:rsidRPr="00077EDF">
        <w:rPr>
          <w:rFonts w:eastAsia="Times New Roman" w:cs="Times New Roman"/>
          <w:color w:val="222222"/>
          <w:shd w:val="clear" w:color="auto" w:fill="FFFFFF"/>
        </w:rPr>
        <w:t xml:space="preserve">within its jurisdiction – out to the 3 nautical mile limit.  This represents the type of policy change defined by the </w:t>
      </w:r>
      <w:r w:rsidRPr="00077EDF">
        <w:rPr>
          <w:rFonts w:eastAsia="Times New Roman" w:cs="Times New Roman"/>
          <w:i/>
          <w:color w:val="222222"/>
          <w:shd w:val="clear" w:color="auto" w:fill="FFFFFF"/>
        </w:rPr>
        <w:t xml:space="preserve">termination </w:t>
      </w:r>
      <w:r w:rsidRPr="00077EDF">
        <w:rPr>
          <w:rFonts w:eastAsia="Times New Roman" w:cs="Times New Roman"/>
          <w:color w:val="222222"/>
          <w:shd w:val="clear" w:color="auto" w:fill="FFFFFF"/>
        </w:rPr>
        <w:t>of existing</w:t>
      </w:r>
      <w:r>
        <w:rPr>
          <w:rFonts w:eastAsia="Times New Roman" w:cs="Times New Roman"/>
          <w:color w:val="222222"/>
          <w:shd w:val="clear" w:color="auto" w:fill="FFFFFF"/>
        </w:rPr>
        <w:t xml:space="preserve"> programs or</w:t>
      </w:r>
      <w:r w:rsidRPr="00077EDF">
        <w:rPr>
          <w:rFonts w:eastAsia="Times New Roman" w:cs="Times New Roman"/>
          <w:color w:val="222222"/>
          <w:shd w:val="clear" w:color="auto" w:fill="FFFFFF"/>
        </w:rPr>
        <w:t xml:space="preserve"> </w:t>
      </w:r>
      <w:r w:rsidR="0098746F">
        <w:rPr>
          <w:rFonts w:eastAsia="Times New Roman" w:cs="Times New Roman"/>
          <w:color w:val="222222"/>
          <w:shd w:val="clear" w:color="auto" w:fill="FFFFFF"/>
        </w:rPr>
        <w:t>policy</w:t>
      </w:r>
      <w:r w:rsidRPr="00077EDF">
        <w:rPr>
          <w:rFonts w:eastAsia="Times New Roman" w:cs="Times New Roman"/>
          <w:color w:val="222222"/>
          <w:shd w:val="clear" w:color="auto" w:fill="FFFFFF"/>
        </w:rPr>
        <w:t>.</w:t>
      </w:r>
      <w:r>
        <w:rPr>
          <w:rFonts w:eastAsia="Times New Roman" w:cs="Times New Roman"/>
          <w:color w:val="222222"/>
          <w:shd w:val="clear" w:color="auto" w:fill="FFFFFF"/>
        </w:rPr>
        <w:t xml:space="preserve">  I</w:t>
      </w:r>
      <w:r w:rsidRPr="00077EDF">
        <w:rPr>
          <w:rFonts w:eastAsia="Times New Roman" w:cs="Times New Roman"/>
          <w:color w:val="222222"/>
          <w:shd w:val="clear" w:color="auto" w:fill="FFFFFF"/>
        </w:rPr>
        <w:t>n a</w:t>
      </w:r>
      <w:r>
        <w:rPr>
          <w:rFonts w:eastAsia="Times New Roman" w:cs="Times New Roman"/>
          <w:color w:val="222222"/>
          <w:shd w:val="clear" w:color="auto" w:fill="FFFFFF"/>
        </w:rPr>
        <w:t xml:space="preserve"> third</w:t>
      </w:r>
      <w:r w:rsidRPr="00077EDF">
        <w:rPr>
          <w:rFonts w:eastAsia="Times New Roman" w:cs="Times New Roman"/>
          <w:color w:val="222222"/>
          <w:shd w:val="clear" w:color="auto" w:fill="FFFFFF"/>
        </w:rPr>
        <w:t xml:space="preserve"> context, the unexpected 1981 discovery of arsenic in the drinking water of Bonner, MT from the centuries-long accumulation of heavy metals </w:t>
      </w:r>
      <w:r w:rsidR="00327AA3">
        <w:rPr>
          <w:rFonts w:eastAsia="Times New Roman" w:cs="Times New Roman"/>
          <w:color w:val="222222"/>
          <w:shd w:val="clear" w:color="auto" w:fill="FFFFFF"/>
        </w:rPr>
        <w:t xml:space="preserve">behind Milltown Dam on the Clark Fork River </w:t>
      </w:r>
      <w:r w:rsidRPr="00077EDF">
        <w:rPr>
          <w:rFonts w:eastAsia="Times New Roman" w:cs="Times New Roman"/>
          <w:color w:val="222222"/>
          <w:shd w:val="clear" w:color="auto" w:fill="FFFFFF"/>
        </w:rPr>
        <w:t xml:space="preserve">prompted the 1983 listing of the largest Superfund complex in the western U.S.  This represents the type of policy change defined by the </w:t>
      </w:r>
      <w:r w:rsidR="00327AA3">
        <w:rPr>
          <w:rFonts w:eastAsia="Times New Roman" w:cs="Times New Roman"/>
          <w:color w:val="222222"/>
          <w:shd w:val="clear" w:color="auto" w:fill="FFFFFF"/>
        </w:rPr>
        <w:t xml:space="preserve">substantive </w:t>
      </w:r>
      <w:r w:rsidRPr="00077EDF">
        <w:rPr>
          <w:rFonts w:eastAsia="Times New Roman" w:cs="Times New Roman"/>
          <w:i/>
          <w:color w:val="222222"/>
          <w:shd w:val="clear" w:color="auto" w:fill="FFFFFF"/>
        </w:rPr>
        <w:t>development</w:t>
      </w:r>
      <w:r w:rsidRPr="00077EDF">
        <w:rPr>
          <w:rFonts w:eastAsia="Times New Roman" w:cs="Times New Roman"/>
          <w:color w:val="222222"/>
          <w:shd w:val="clear" w:color="auto" w:fill="FFFFFF"/>
        </w:rPr>
        <w:t xml:space="preserve"> or </w:t>
      </w:r>
      <w:r w:rsidRPr="00077EDF">
        <w:rPr>
          <w:rFonts w:eastAsia="Times New Roman" w:cs="Times New Roman"/>
          <w:i/>
          <w:color w:val="222222"/>
          <w:shd w:val="clear" w:color="auto" w:fill="FFFFFF"/>
        </w:rPr>
        <w:t xml:space="preserve">advancement </w:t>
      </w:r>
      <w:r w:rsidRPr="00077EDF">
        <w:rPr>
          <w:rFonts w:eastAsia="Times New Roman" w:cs="Times New Roman"/>
          <w:color w:val="222222"/>
          <w:shd w:val="clear" w:color="auto" w:fill="FFFFFF"/>
        </w:rPr>
        <w:t xml:space="preserve">of existing legislation.  </w:t>
      </w:r>
      <w:r w:rsidR="00F80F63">
        <w:rPr>
          <w:rFonts w:eastAsia="Times New Roman" w:cs="Times New Roman"/>
          <w:color w:val="222222"/>
          <w:shd w:val="clear" w:color="auto" w:fill="FFFFFF"/>
        </w:rPr>
        <w:t xml:space="preserve">EPA’s </w:t>
      </w:r>
      <w:r w:rsidRPr="00077EDF">
        <w:rPr>
          <w:rFonts w:eastAsia="Times New Roman" w:cs="Times New Roman"/>
          <w:color w:val="222222"/>
          <w:shd w:val="clear" w:color="auto" w:fill="FFFFFF"/>
        </w:rPr>
        <w:t xml:space="preserve">2016 listing of the Bonita Peak Mining District </w:t>
      </w:r>
      <w:r w:rsidR="00F80F63">
        <w:rPr>
          <w:rFonts w:eastAsia="Times New Roman" w:cs="Times New Roman"/>
          <w:color w:val="222222"/>
          <w:shd w:val="clear" w:color="auto" w:fill="FFFFFF"/>
        </w:rPr>
        <w:t xml:space="preserve">(BPMD) </w:t>
      </w:r>
      <w:r w:rsidRPr="00077EDF">
        <w:rPr>
          <w:rFonts w:eastAsia="Times New Roman" w:cs="Times New Roman"/>
          <w:color w:val="222222"/>
          <w:shd w:val="clear" w:color="auto" w:fill="FFFFFF"/>
        </w:rPr>
        <w:t xml:space="preserve">outside of Silverton, CO following </w:t>
      </w:r>
      <w:r w:rsidRPr="00077EDF">
        <w:rPr>
          <w:rFonts w:eastAsia="Times New Roman" w:cs="Times New Roman"/>
          <w:color w:val="222222"/>
          <w:shd w:val="clear" w:color="auto" w:fill="FFFFFF"/>
        </w:rPr>
        <w:lastRenderedPageBreak/>
        <w:t xml:space="preserve">the 2015 GKM spill is most similar to this latter context of policy change. </w:t>
      </w:r>
      <w:r w:rsidR="00F80F63">
        <w:rPr>
          <w:rFonts w:eastAsia="Times New Roman" w:cs="Times New Roman"/>
          <w:color w:val="222222"/>
          <w:shd w:val="clear" w:color="auto" w:fill="FFFFFF"/>
        </w:rPr>
        <w:t xml:space="preserve"> In the spill’s aftermath, BPMD’s official listing </w:t>
      </w:r>
      <w:r w:rsidR="00327AA3">
        <w:rPr>
          <w:rFonts w:eastAsia="Times New Roman" w:cs="Times New Roman"/>
          <w:color w:val="222222"/>
          <w:shd w:val="clear" w:color="auto" w:fill="FFFFFF"/>
        </w:rPr>
        <w:t xml:space="preserve">on </w:t>
      </w:r>
      <w:r w:rsidR="00BB20F2">
        <w:rPr>
          <w:rFonts w:eastAsia="Times New Roman" w:cs="Times New Roman"/>
          <w:color w:val="222222"/>
          <w:shd w:val="clear" w:color="auto" w:fill="FFFFFF"/>
        </w:rPr>
        <w:t xml:space="preserve">Superfund’s NPL </w:t>
      </w:r>
      <w:r w:rsidR="00F80F63">
        <w:rPr>
          <w:rFonts w:eastAsia="Times New Roman" w:cs="Times New Roman"/>
          <w:color w:val="222222"/>
          <w:shd w:val="clear" w:color="auto" w:fill="FFFFFF"/>
        </w:rPr>
        <w:t>materialized in a notably rapid manner</w:t>
      </w:r>
      <w:r w:rsidR="00327AA3">
        <w:rPr>
          <w:rFonts w:eastAsia="Times New Roman" w:cs="Times New Roman"/>
          <w:color w:val="222222"/>
          <w:shd w:val="clear" w:color="auto" w:fill="FFFFFF"/>
        </w:rPr>
        <w:t xml:space="preserve"> – just over </w:t>
      </w:r>
      <w:r w:rsidR="00BB20F2">
        <w:rPr>
          <w:rFonts w:eastAsia="Times New Roman" w:cs="Times New Roman"/>
          <w:color w:val="222222"/>
          <w:shd w:val="clear" w:color="auto" w:fill="FFFFFF"/>
        </w:rPr>
        <w:t>12-months</w:t>
      </w:r>
      <w:r w:rsidR="00327AA3">
        <w:rPr>
          <w:rFonts w:eastAsia="Times New Roman" w:cs="Times New Roman"/>
          <w:color w:val="222222"/>
          <w:shd w:val="clear" w:color="auto" w:fill="FFFFFF"/>
        </w:rPr>
        <w:t xml:space="preserve"> following the spill</w:t>
      </w:r>
      <w:r w:rsidR="00F80F63">
        <w:rPr>
          <w:rFonts w:eastAsia="Times New Roman" w:cs="Times New Roman"/>
          <w:color w:val="222222"/>
          <w:shd w:val="clear" w:color="auto" w:fill="FFFFFF"/>
        </w:rPr>
        <w:t>.</w:t>
      </w:r>
    </w:p>
    <w:p w14:paraId="50955DBA" w14:textId="2913AA77" w:rsidR="008B2293" w:rsidRPr="00606F5E" w:rsidRDefault="00540F6A" w:rsidP="00606F5E">
      <w:pPr>
        <w:pStyle w:val="ListParagraph"/>
        <w:numPr>
          <w:ilvl w:val="0"/>
          <w:numId w:val="3"/>
        </w:numPr>
        <w:spacing w:line="480" w:lineRule="auto"/>
        <w:rPr>
          <w:rFonts w:cs="Times New Roman"/>
          <w:b/>
        </w:rPr>
      </w:pPr>
      <w:r w:rsidRPr="00606F5E">
        <w:rPr>
          <w:rFonts w:cs="Times New Roman"/>
          <w:b/>
        </w:rPr>
        <w:t xml:space="preserve">The Spill in Perspective:  </w:t>
      </w:r>
      <w:r w:rsidR="00327AA3" w:rsidRPr="00606F5E">
        <w:rPr>
          <w:rFonts w:cs="Times New Roman"/>
          <w:b/>
        </w:rPr>
        <w:t>Accelerated</w:t>
      </w:r>
      <w:r w:rsidR="008B2293" w:rsidRPr="00606F5E">
        <w:rPr>
          <w:rFonts w:cs="Times New Roman"/>
          <w:b/>
        </w:rPr>
        <w:t xml:space="preserve"> Policy Development </w:t>
      </w:r>
      <w:r w:rsidRPr="00606F5E">
        <w:rPr>
          <w:rFonts w:cs="Times New Roman"/>
          <w:b/>
        </w:rPr>
        <w:t>Post</w:t>
      </w:r>
      <w:r w:rsidR="00327AA3" w:rsidRPr="00606F5E">
        <w:rPr>
          <w:rFonts w:cs="Times New Roman"/>
          <w:b/>
        </w:rPr>
        <w:t>-</w:t>
      </w:r>
      <w:r w:rsidR="008B2293" w:rsidRPr="00606F5E">
        <w:rPr>
          <w:rFonts w:cs="Times New Roman"/>
          <w:b/>
        </w:rPr>
        <w:t>GKM Spill</w:t>
      </w:r>
    </w:p>
    <w:p w14:paraId="6A68BE70" w14:textId="4C5FC58E" w:rsidR="00EA4710" w:rsidRDefault="00EA4710" w:rsidP="00EA4710">
      <w:pPr>
        <w:spacing w:line="480" w:lineRule="auto"/>
        <w:ind w:firstLine="720"/>
        <w:rPr>
          <w:rFonts w:cs="Arial"/>
        </w:rPr>
      </w:pPr>
      <w:r w:rsidRPr="00543157">
        <w:rPr>
          <w:rFonts w:cs="Arial"/>
        </w:rPr>
        <w:t>A</w:t>
      </w:r>
      <w:r w:rsidR="00F80F63">
        <w:rPr>
          <w:rFonts w:cs="Arial"/>
        </w:rPr>
        <w:t xml:space="preserve"> </w:t>
      </w:r>
      <w:r>
        <w:rPr>
          <w:rFonts w:cs="Arial"/>
        </w:rPr>
        <w:t>common</w:t>
      </w:r>
      <w:r w:rsidRPr="00543157">
        <w:rPr>
          <w:rFonts w:cs="Arial"/>
        </w:rPr>
        <w:t xml:space="preserve"> adage</w:t>
      </w:r>
      <w:r>
        <w:rPr>
          <w:rFonts w:cs="Arial"/>
        </w:rPr>
        <w:t xml:space="preserve"> </w:t>
      </w:r>
      <w:r w:rsidRPr="00543157">
        <w:rPr>
          <w:rFonts w:cs="Arial"/>
        </w:rPr>
        <w:t xml:space="preserve">in the social sciences, is that </w:t>
      </w:r>
      <w:r w:rsidRPr="00543157">
        <w:rPr>
          <w:rFonts w:cs="Arial"/>
          <w:i/>
        </w:rPr>
        <w:t>all politics are local</w:t>
      </w:r>
      <w:r w:rsidRPr="00543157">
        <w:rPr>
          <w:rFonts w:cs="Arial"/>
        </w:rPr>
        <w:t xml:space="preserve"> – in the sense that a community-level understanding of issues, events, and problems is essential for understanding policy developments at the </w:t>
      </w:r>
      <w:r w:rsidR="00F80F63">
        <w:rPr>
          <w:rFonts w:cs="Arial"/>
        </w:rPr>
        <w:t xml:space="preserve">broader </w:t>
      </w:r>
      <w:r w:rsidRPr="00543157">
        <w:rPr>
          <w:rFonts w:cs="Arial"/>
        </w:rPr>
        <w:t xml:space="preserve">scale.  The GKM spill is a case in point; it occurred in the relatively small and isolated Upper Animas watershed yet spawned a national and international media sensation and ensuing debates about the dangers of abandoned mines and AMD.  </w:t>
      </w:r>
      <w:r w:rsidR="00D91A3D">
        <w:rPr>
          <w:rFonts w:cs="Arial"/>
        </w:rPr>
        <w:t xml:space="preserve">For a timeline of significant GKM-related events, see Appendix </w:t>
      </w:r>
      <w:r w:rsidR="0016439F">
        <w:rPr>
          <w:rFonts w:cs="Arial"/>
        </w:rPr>
        <w:t>II</w:t>
      </w:r>
      <w:r w:rsidR="00D91A3D">
        <w:rPr>
          <w:rFonts w:cs="Arial"/>
        </w:rPr>
        <w:t>.</w:t>
      </w:r>
    </w:p>
    <w:p w14:paraId="4F5ECD51" w14:textId="0C6F88BA" w:rsidR="00EA4710" w:rsidRDefault="00EA4710" w:rsidP="00EA4710">
      <w:pPr>
        <w:spacing w:line="480" w:lineRule="auto"/>
        <w:ind w:firstLine="720"/>
        <w:rPr>
          <w:rFonts w:cs="Arial"/>
          <w:color w:val="262626"/>
        </w:rPr>
      </w:pPr>
      <w:r w:rsidRPr="00543157">
        <w:rPr>
          <w:rFonts w:cs="Arial"/>
        </w:rPr>
        <w:t xml:space="preserve">The </w:t>
      </w:r>
      <w:r w:rsidRPr="00543157">
        <w:rPr>
          <w:rFonts w:cs="Arial"/>
          <w:color w:val="262626"/>
        </w:rPr>
        <w:t>strong local opposition to federally</w:t>
      </w:r>
      <w:r w:rsidR="004F27F2">
        <w:rPr>
          <w:rFonts w:cs="Arial"/>
          <w:color w:val="262626"/>
        </w:rPr>
        <w:t>-</w:t>
      </w:r>
      <w:r w:rsidRPr="00543157">
        <w:rPr>
          <w:rFonts w:cs="Arial"/>
          <w:color w:val="262626"/>
        </w:rPr>
        <w:t xml:space="preserve">led cleanup efforts that had persisted for decades in the </w:t>
      </w:r>
      <w:r w:rsidRPr="00034171">
        <w:rPr>
          <w:rFonts w:cs="Arial"/>
          <w:color w:val="000000" w:themeColor="text1"/>
        </w:rPr>
        <w:t xml:space="preserve">Silverton area quickly changed following the spill’s visibly disturbing aftermath.   After 25-plus years of opposition, it took </w:t>
      </w:r>
      <w:r>
        <w:rPr>
          <w:rFonts w:cs="Arial"/>
          <w:color w:val="000000" w:themeColor="text1"/>
        </w:rPr>
        <w:t xml:space="preserve">less than four months (or 110-days) </w:t>
      </w:r>
      <w:r w:rsidRPr="00034171">
        <w:rPr>
          <w:rFonts w:cs="Arial"/>
          <w:color w:val="000000" w:themeColor="text1"/>
        </w:rPr>
        <w:t xml:space="preserve">for local leaders to </w:t>
      </w:r>
      <w:r w:rsidR="004F27F2">
        <w:rPr>
          <w:rFonts w:cs="Arial"/>
          <w:color w:val="000000" w:themeColor="text1"/>
        </w:rPr>
        <w:t xml:space="preserve">vote </w:t>
      </w:r>
      <w:r>
        <w:rPr>
          <w:rFonts w:cs="Arial"/>
          <w:color w:val="000000" w:themeColor="text1"/>
        </w:rPr>
        <w:t xml:space="preserve">unanimously </w:t>
      </w:r>
      <w:r w:rsidRPr="00034171">
        <w:rPr>
          <w:color w:val="000000" w:themeColor="text1"/>
          <w:shd w:val="clear" w:color="auto" w:fill="FFFFFF"/>
        </w:rPr>
        <w:t>to direct city staff to pursue a Superfund listing with EPA and the Colorado Department of Public Health and Environment (CDPHE).</w:t>
      </w:r>
      <w:r>
        <w:t xml:space="preserve">  And, some four months later (or 136-days), EPA officially proposed Superfund listing </w:t>
      </w:r>
      <w:r w:rsidR="007F440A">
        <w:t xml:space="preserve">in the </w:t>
      </w:r>
      <w:r w:rsidR="007F440A" w:rsidRPr="007F440A">
        <w:rPr>
          <w:i/>
        </w:rPr>
        <w:t>Federal Register</w:t>
      </w:r>
      <w:r w:rsidR="007F440A">
        <w:t xml:space="preserve"> </w:t>
      </w:r>
      <w:r>
        <w:t xml:space="preserve">for what would soon become the BPMD.  This significant policy development was formalized on September 6, 2016, when EPA announced the official designation of BPMD on the NPL – only 137-days after </w:t>
      </w:r>
      <w:r w:rsidR="00BB20F2">
        <w:t>the</w:t>
      </w:r>
      <w:r>
        <w:t xml:space="preserve"> initial proposal.  </w:t>
      </w:r>
      <w:r>
        <w:rPr>
          <w:rFonts w:cs="Arial"/>
          <w:color w:val="262626"/>
        </w:rPr>
        <w:t>Th</w:t>
      </w:r>
      <w:r w:rsidR="004F27F2">
        <w:rPr>
          <w:rFonts w:cs="Arial"/>
          <w:color w:val="262626"/>
        </w:rPr>
        <w:t>e</w:t>
      </w:r>
      <w:r>
        <w:rPr>
          <w:rFonts w:cs="Arial"/>
          <w:color w:val="262626"/>
        </w:rPr>
        <w:t xml:space="preserve"> time </w:t>
      </w:r>
      <w:r w:rsidR="004F27F2">
        <w:rPr>
          <w:rFonts w:cs="Arial"/>
          <w:color w:val="262626"/>
        </w:rPr>
        <w:t xml:space="preserve">that </w:t>
      </w:r>
      <w:r>
        <w:rPr>
          <w:rFonts w:cs="Arial"/>
          <w:color w:val="262626"/>
        </w:rPr>
        <w:t xml:space="preserve">elapsed between BPMD’s proposed and formal listings represents the shortest for all of Colorado’s </w:t>
      </w:r>
      <w:r w:rsidR="007F440A">
        <w:rPr>
          <w:rFonts w:cs="Arial"/>
          <w:color w:val="262626"/>
        </w:rPr>
        <w:t>19</w:t>
      </w:r>
      <w:r>
        <w:rPr>
          <w:rFonts w:cs="Arial"/>
          <w:color w:val="262626"/>
        </w:rPr>
        <w:t>, currently-listed, nonfederal NPL facilities</w:t>
      </w:r>
      <w:r w:rsidR="00C54A11">
        <w:rPr>
          <w:rFonts w:cs="Arial"/>
          <w:color w:val="262626"/>
        </w:rPr>
        <w:t xml:space="preserve">; </w:t>
      </w:r>
      <w:r>
        <w:rPr>
          <w:rFonts w:cs="Arial"/>
          <w:color w:val="262626"/>
        </w:rPr>
        <w:t>the average time interval is more than fourteen-months.</w:t>
      </w:r>
      <w:r w:rsidRPr="00783095">
        <w:rPr>
          <w:rStyle w:val="EndnoteReference"/>
          <w:rFonts w:cs="Arial"/>
          <w:color w:val="262626"/>
          <w:sz w:val="20"/>
          <w:szCs w:val="20"/>
        </w:rPr>
        <w:endnoteReference w:id="11"/>
      </w:r>
      <w:r w:rsidR="003544AC">
        <w:rPr>
          <w:rFonts w:cs="Arial"/>
          <w:color w:val="262626"/>
        </w:rPr>
        <w:t xml:space="preserve">  </w:t>
      </w:r>
      <w:r w:rsidR="003544AC">
        <w:t>Anecdotal evidence suggests this timeframe – between proposed and official listing</w:t>
      </w:r>
      <w:r w:rsidR="00704821">
        <w:t xml:space="preserve"> – </w:t>
      </w:r>
      <w:r w:rsidR="003544AC">
        <w:t xml:space="preserve">is a function of the </w:t>
      </w:r>
      <w:r w:rsidR="00704821">
        <w:t xml:space="preserve">extent and tone </w:t>
      </w:r>
      <w:r w:rsidR="003544AC">
        <w:t xml:space="preserve">of </w:t>
      </w:r>
      <w:r w:rsidR="003544AC">
        <w:lastRenderedPageBreak/>
        <w:t xml:space="preserve">public comments </w:t>
      </w:r>
      <w:r w:rsidR="00C54A11">
        <w:t xml:space="preserve">opposing </w:t>
      </w:r>
      <w:r w:rsidR="003544AC">
        <w:t>NPL listing</w:t>
      </w:r>
      <w:r w:rsidR="00704821">
        <w:t xml:space="preserve"> (i.e., </w:t>
      </w:r>
      <w:r w:rsidR="005717AE">
        <w:t xml:space="preserve">fewer opposing comments correlates with </w:t>
      </w:r>
      <w:r w:rsidR="004F27F2">
        <w:t xml:space="preserve">a </w:t>
      </w:r>
      <w:r w:rsidR="005717AE">
        <w:t>shorter timeframe)</w:t>
      </w:r>
      <w:r w:rsidR="003544AC">
        <w:t>.</w:t>
      </w:r>
      <w:r w:rsidR="003544AC">
        <w:rPr>
          <w:rStyle w:val="EndnoteReference"/>
        </w:rPr>
        <w:endnoteReference w:id="12"/>
      </w:r>
      <w:r w:rsidR="003544AC">
        <w:t xml:space="preserve">  </w:t>
      </w:r>
      <w:r w:rsidR="00C54A11">
        <w:t xml:space="preserve"> Roughly 60% of the public comments submitted by mostly local and regional interests supported EPA’s proposed listing of BPMD in April 2016.</w:t>
      </w:r>
      <w:r w:rsidR="00C54A11" w:rsidRPr="00783095">
        <w:rPr>
          <w:rStyle w:val="EndnoteReference"/>
          <w:sz w:val="20"/>
          <w:szCs w:val="20"/>
        </w:rPr>
        <w:endnoteReference w:id="13"/>
      </w:r>
      <w:r w:rsidR="00C54A11" w:rsidRPr="00783095">
        <w:rPr>
          <w:sz w:val="20"/>
          <w:szCs w:val="20"/>
        </w:rPr>
        <w:t xml:space="preserve"> </w:t>
      </w:r>
      <w:r w:rsidR="00C54A11">
        <w:t xml:space="preserve">  </w:t>
      </w:r>
    </w:p>
    <w:p w14:paraId="02F77538" w14:textId="22023AB7" w:rsidR="00EA4710" w:rsidRDefault="00EA4710" w:rsidP="0016439F">
      <w:pPr>
        <w:pStyle w:val="NoSpacing"/>
        <w:spacing w:line="480" w:lineRule="auto"/>
        <w:ind w:firstLine="720"/>
      </w:pPr>
      <w:r>
        <w:t>More broadly, the complete timeframe between the initial 2015 spill and formal site listing – a mere 383-days, is remarkable</w:t>
      </w:r>
      <w:r w:rsidR="007F440A">
        <w:t xml:space="preserve"> </w:t>
      </w:r>
      <w:r>
        <w:t xml:space="preserve">given the decades-long opposition by local leaders and area-residents. </w:t>
      </w:r>
      <w:r w:rsidR="004F27F2">
        <w:t xml:space="preserve"> </w:t>
      </w:r>
      <w:r w:rsidR="00924FA8">
        <w:t xml:space="preserve">And, to reiterate, the seven-member Silverton Board of Trustees voted unanimously to pursue Superfund listing </w:t>
      </w:r>
      <w:r w:rsidR="00924FA8" w:rsidRPr="00924FA8">
        <w:rPr>
          <w:i/>
        </w:rPr>
        <w:t>less than four-months</w:t>
      </w:r>
      <w:r w:rsidR="00924FA8">
        <w:t xml:space="preserve"> following the </w:t>
      </w:r>
      <w:r w:rsidR="00C54A11">
        <w:t xml:space="preserve">initial </w:t>
      </w:r>
      <w:r w:rsidR="00924FA8">
        <w:t>spill</w:t>
      </w:r>
      <w:r w:rsidR="00450D59">
        <w:t>.</w:t>
      </w:r>
      <w:r w:rsidR="00450D59">
        <w:rPr>
          <w:rStyle w:val="EndnoteReference"/>
        </w:rPr>
        <w:endnoteReference w:id="14"/>
      </w:r>
      <w:r w:rsidR="00450D59">
        <w:t xml:space="preserve">  </w:t>
      </w:r>
      <w:r w:rsidR="00924FA8">
        <w:t xml:space="preserve">This </w:t>
      </w:r>
      <w:r w:rsidR="00931DAF">
        <w:t xml:space="preserve">appears to be </w:t>
      </w:r>
      <w:r w:rsidR="00924FA8">
        <w:t xml:space="preserve">an </w:t>
      </w:r>
      <w:r w:rsidR="00924FA8" w:rsidRPr="00924FA8">
        <w:t>astonishingly</w:t>
      </w:r>
      <w:r w:rsidR="00924FA8">
        <w:t xml:space="preserve"> brief period </w:t>
      </w:r>
      <w:r w:rsidR="00931DAF">
        <w:t xml:space="preserve">of time </w:t>
      </w:r>
      <w:r w:rsidR="00924FA8">
        <w:t>for s</w:t>
      </w:r>
      <w:r>
        <w:t>uch a swift and complete reversal of policy preference</w:t>
      </w:r>
      <w:r w:rsidR="00924FA8">
        <w:t xml:space="preserve">. </w:t>
      </w:r>
      <w:r w:rsidR="003544AC">
        <w:t xml:space="preserve"> </w:t>
      </w:r>
      <w:r w:rsidR="005717AE">
        <w:t xml:space="preserve">Unfortunately, </w:t>
      </w:r>
      <w:r w:rsidR="00C6411C">
        <w:t xml:space="preserve">a comparative assessment of the intervening time between a focusing event, learning among actors, and/or policy change is not possible, </w:t>
      </w:r>
      <w:r w:rsidR="005717AE">
        <w:t xml:space="preserve">given the </w:t>
      </w:r>
      <w:r w:rsidR="00C6411C">
        <w:t xml:space="preserve">paucity of longitudinal research on </w:t>
      </w:r>
      <w:r w:rsidR="005717AE">
        <w:t xml:space="preserve">relative timeframes </w:t>
      </w:r>
      <w:r w:rsidR="00C6411C">
        <w:t>between focusing events and policy learning (e.g., ‘t Hart &amp; Boin 2001; Birkland 1997; 1998; 200</w:t>
      </w:r>
      <w:r w:rsidR="00F56A9D">
        <w:t>7</w:t>
      </w:r>
      <w:r w:rsidR="00C6411C">
        <w:t xml:space="preserve">).  </w:t>
      </w:r>
      <w:r w:rsidR="007F440A">
        <w:t xml:space="preserve">The impact </w:t>
      </w:r>
      <w:r w:rsidR="00C6411C">
        <w:t xml:space="preserve">focusing events </w:t>
      </w:r>
      <w:r w:rsidR="007F440A">
        <w:t xml:space="preserve">have on </w:t>
      </w:r>
      <w:r w:rsidR="00C6411C">
        <w:t xml:space="preserve">the saliency of issues for places in time and potential policy learning thus represents a fruitful avenue for future research.  </w:t>
      </w:r>
    </w:p>
    <w:p w14:paraId="10EE020B" w14:textId="3BBB27A2" w:rsidR="00162EC0" w:rsidRPr="00EF027E" w:rsidRDefault="00162EC0" w:rsidP="007F440A">
      <w:pPr>
        <w:pStyle w:val="NoSpacing"/>
        <w:spacing w:line="480" w:lineRule="auto"/>
        <w:rPr>
          <w:b/>
        </w:rPr>
      </w:pPr>
      <w:r w:rsidRPr="00EF027E">
        <w:rPr>
          <w:b/>
        </w:rPr>
        <w:t xml:space="preserve">The </w:t>
      </w:r>
      <w:r w:rsidR="00540F6A" w:rsidRPr="00EF027E">
        <w:rPr>
          <w:b/>
        </w:rPr>
        <w:t>Spill in Perspective:  The</w:t>
      </w:r>
      <w:r w:rsidR="004F27F2" w:rsidRPr="00EF027E">
        <w:rPr>
          <w:b/>
        </w:rPr>
        <w:t xml:space="preserve"> </w:t>
      </w:r>
      <w:r w:rsidRPr="00EF027E">
        <w:rPr>
          <w:b/>
        </w:rPr>
        <w:t>GKM Blowout as Focusing Event and Media Sensation</w:t>
      </w:r>
    </w:p>
    <w:p w14:paraId="635B9233" w14:textId="24B6DD01" w:rsidR="00162EC0" w:rsidRPr="004F27F2" w:rsidRDefault="00162EC0" w:rsidP="007F440A">
      <w:pPr>
        <w:pStyle w:val="NoSpacing"/>
        <w:spacing w:line="480" w:lineRule="auto"/>
        <w:rPr>
          <w:rFonts w:cs="Baskerville SemiBold Italic"/>
        </w:rPr>
      </w:pPr>
      <w:r w:rsidRPr="00077EDF">
        <w:t>Regarding both visual and psychological impacts, the August 2015 blowout at GKM and ensuing toxic plume that grossly discolored a multistate river were extreme.</w:t>
      </w:r>
      <w:r w:rsidR="0016439F">
        <w:t xml:space="preserve">  </w:t>
      </w:r>
      <w:r w:rsidR="00674DFF">
        <w:t>(</w:t>
      </w:r>
      <w:r w:rsidR="0016439F">
        <w:t xml:space="preserve">Refer to Appendix III for </w:t>
      </w:r>
      <w:r w:rsidR="00674DFF">
        <w:t>images of the discolored Animas.)</w:t>
      </w:r>
      <w:r w:rsidRPr="00077EDF">
        <w:rPr>
          <w:rFonts w:cs="Times New Roman"/>
        </w:rPr>
        <w:t xml:space="preserve">  Locally, coverage of the spill was almost daily, with the </w:t>
      </w:r>
      <w:r w:rsidRPr="00077EDF">
        <w:rPr>
          <w:rFonts w:cs="Times New Roman"/>
          <w:i/>
        </w:rPr>
        <w:t>Durango Herald</w:t>
      </w:r>
      <w:r w:rsidRPr="00077EDF">
        <w:rPr>
          <w:rFonts w:cs="Times New Roman"/>
        </w:rPr>
        <w:t xml:space="preserve"> publishing approximately 275 news reports and updates between August 5, 2015 and August 27, 2016.   </w:t>
      </w:r>
      <w:r w:rsidR="00540F6A">
        <w:rPr>
          <w:rFonts w:cs="Times New Roman"/>
        </w:rPr>
        <w:t>T</w:t>
      </w:r>
      <w:r w:rsidRPr="00077EDF">
        <w:t xml:space="preserve">he event </w:t>
      </w:r>
      <w:r w:rsidRPr="00077EDF">
        <w:rPr>
          <w:rFonts w:cs="Baskerville SemiBold Italic"/>
        </w:rPr>
        <w:t xml:space="preserve">was </w:t>
      </w:r>
      <w:r w:rsidR="00540F6A">
        <w:rPr>
          <w:rFonts w:cs="Baskerville SemiBold Italic"/>
        </w:rPr>
        <w:t xml:space="preserve">also </w:t>
      </w:r>
      <w:r w:rsidRPr="00077EDF">
        <w:rPr>
          <w:rFonts w:cs="Baskerville SemiBold Italic"/>
        </w:rPr>
        <w:t xml:space="preserve">covered by major print outlets including </w:t>
      </w:r>
      <w:r w:rsidRPr="00077EDF">
        <w:rPr>
          <w:rFonts w:cs="Baskerville SemiBold Italic"/>
          <w:i/>
        </w:rPr>
        <w:t>The Denver Post, Time,</w:t>
      </w:r>
      <w:r w:rsidR="007F440A">
        <w:rPr>
          <w:rFonts w:cs="Baskerville SemiBold Italic"/>
        </w:rPr>
        <w:t xml:space="preserve"> </w:t>
      </w:r>
      <w:r w:rsidRPr="00077EDF">
        <w:rPr>
          <w:rFonts w:cs="Baskerville SemiBold Italic"/>
          <w:i/>
        </w:rPr>
        <w:t>The Wall Street Journal</w:t>
      </w:r>
      <w:r w:rsidRPr="00077EDF">
        <w:rPr>
          <w:rFonts w:cs="Baskerville SemiBold Italic"/>
        </w:rPr>
        <w:t xml:space="preserve">, </w:t>
      </w:r>
      <w:r w:rsidRPr="00077EDF">
        <w:rPr>
          <w:rFonts w:cs="Baskerville SemiBold Italic"/>
          <w:i/>
        </w:rPr>
        <w:t>The New York Times</w:t>
      </w:r>
      <w:r w:rsidRPr="00077EDF">
        <w:rPr>
          <w:rFonts w:cs="Baskerville SemiBold Italic"/>
        </w:rPr>
        <w:t xml:space="preserve">, </w:t>
      </w:r>
      <w:r w:rsidRPr="00077EDF">
        <w:rPr>
          <w:rFonts w:cs="Baskerville SemiBold Italic"/>
          <w:i/>
        </w:rPr>
        <w:t xml:space="preserve">Washington Post, </w:t>
      </w:r>
      <w:r w:rsidRPr="00077EDF">
        <w:rPr>
          <w:rFonts w:cs="Baskerville SemiBold Italic"/>
        </w:rPr>
        <w:t xml:space="preserve">and </w:t>
      </w:r>
      <w:r w:rsidRPr="00077EDF">
        <w:rPr>
          <w:rFonts w:cs="Baskerville SemiBold Italic"/>
          <w:i/>
        </w:rPr>
        <w:t>The Los Angeles Times</w:t>
      </w:r>
      <w:r w:rsidRPr="00077EDF">
        <w:rPr>
          <w:rFonts w:cs="Baskerville SemiBold Italic"/>
        </w:rPr>
        <w:t>.</w:t>
      </w:r>
      <w:r w:rsidRPr="00077EDF">
        <w:rPr>
          <w:rStyle w:val="EndnoteReference"/>
          <w:rFonts w:cs="Baskerville SemiBold Italic"/>
        </w:rPr>
        <w:endnoteReference w:id="15"/>
      </w:r>
      <w:r>
        <w:rPr>
          <w:rFonts w:cs="Baskerville SemiBold Italic"/>
        </w:rPr>
        <w:t xml:space="preserve">  </w:t>
      </w:r>
      <w:r w:rsidR="00BB20F2">
        <w:rPr>
          <w:rFonts w:cs="Baskerville SemiBold Italic"/>
        </w:rPr>
        <w:t>Of note,</w:t>
      </w:r>
      <w:r>
        <w:rPr>
          <w:rFonts w:cs="Baskerville SemiBold Italic"/>
        </w:rPr>
        <w:t xml:space="preserve"> t</w:t>
      </w:r>
      <w:r w:rsidRPr="00077EDF">
        <w:rPr>
          <w:rFonts w:cs="Baskerville SemiBold Italic"/>
        </w:rPr>
        <w:t xml:space="preserve">he GKM </w:t>
      </w:r>
      <w:r>
        <w:rPr>
          <w:rFonts w:cs="Baskerville SemiBold Italic"/>
        </w:rPr>
        <w:t xml:space="preserve">event </w:t>
      </w:r>
      <w:r w:rsidRPr="00077EDF">
        <w:rPr>
          <w:rFonts w:cs="Baskerville SemiBold Italic"/>
        </w:rPr>
        <w:t xml:space="preserve">was listed by </w:t>
      </w:r>
      <w:r w:rsidRPr="00077EDF">
        <w:rPr>
          <w:rFonts w:cs="Baskerville SemiBold Italic"/>
          <w:i/>
        </w:rPr>
        <w:t>Newsweek</w:t>
      </w:r>
      <w:r w:rsidRPr="00077EDF">
        <w:rPr>
          <w:rFonts w:cs="Baskerville SemiBold Italic"/>
        </w:rPr>
        <w:t xml:space="preserve"> magazine </w:t>
      </w:r>
      <w:r w:rsidR="004F27F2">
        <w:rPr>
          <w:rFonts w:cs="Baskerville SemiBold Italic"/>
        </w:rPr>
        <w:t xml:space="preserve">as </w:t>
      </w:r>
      <w:r w:rsidRPr="00077EDF">
        <w:rPr>
          <w:rFonts w:cs="Baskerville SemiBold Italic"/>
        </w:rPr>
        <w:t xml:space="preserve">among the top </w:t>
      </w:r>
      <w:r w:rsidRPr="00077EDF">
        <w:rPr>
          <w:rFonts w:cs="Baskerville SemiBold Italic"/>
        </w:rPr>
        <w:lastRenderedPageBreak/>
        <w:t xml:space="preserve">five “Nastiest Cases of Toxic Discharge in 2015.”  The </w:t>
      </w:r>
      <w:r w:rsidR="004F27F2">
        <w:rPr>
          <w:rFonts w:cs="Baskerville SemiBold Italic"/>
        </w:rPr>
        <w:t>piece</w:t>
      </w:r>
      <w:r w:rsidRPr="00077EDF">
        <w:rPr>
          <w:rFonts w:cs="Baskerville SemiBold Italic"/>
        </w:rPr>
        <w:t xml:space="preserve"> began with</w:t>
      </w:r>
      <w:r>
        <w:rPr>
          <w:rFonts w:cs="Baskerville SemiBold Italic"/>
        </w:rPr>
        <w:t xml:space="preserve"> the following sensational statement</w:t>
      </w:r>
      <w:r w:rsidR="004F27F2">
        <w:rPr>
          <w:rFonts w:cs="Baskerville SemiBold Italic"/>
        </w:rPr>
        <w:t>:</w:t>
      </w:r>
      <w:r w:rsidRPr="00077EDF">
        <w:rPr>
          <w:rFonts w:cs="Baskerville SemiBold Italic"/>
        </w:rPr>
        <w:t xml:space="preserve"> “A river in Colorado turned a bright mac-and-cheese orange with mining waste.”</w:t>
      </w:r>
      <w:r w:rsidRPr="00783095">
        <w:rPr>
          <w:rStyle w:val="EndnoteReference"/>
          <w:rFonts w:eastAsia="Times New Roman" w:cs="Arial"/>
          <w:caps/>
          <w:color w:val="181818"/>
          <w:spacing w:val="-4"/>
          <w:sz w:val="20"/>
          <w:szCs w:val="20"/>
        </w:rPr>
        <w:endnoteReference w:id="16"/>
      </w:r>
      <w:r w:rsidRPr="00783095">
        <w:rPr>
          <w:rFonts w:eastAsia="Times New Roman"/>
          <w:caps/>
          <w:color w:val="181818"/>
          <w:spacing w:val="-4"/>
          <w:sz w:val="20"/>
          <w:szCs w:val="20"/>
        </w:rPr>
        <w:t xml:space="preserve">  </w:t>
      </w:r>
    </w:p>
    <w:p w14:paraId="4B04A36A" w14:textId="3D7E7A97" w:rsidR="00162EC0" w:rsidRPr="00077EDF" w:rsidRDefault="00162EC0" w:rsidP="00162EC0">
      <w:pPr>
        <w:pStyle w:val="EndnoteText"/>
        <w:spacing w:line="480" w:lineRule="auto"/>
        <w:ind w:firstLine="720"/>
        <w:rPr>
          <w:rFonts w:cs="Baskerville SemiBold Italic"/>
        </w:rPr>
      </w:pPr>
      <w:r w:rsidRPr="00077EDF">
        <w:rPr>
          <w:rFonts w:cs="Baskerville SemiBold Italic"/>
        </w:rPr>
        <w:t>The GKM story also received primetime, national and international television coverage from all major outlets</w:t>
      </w:r>
      <w:r>
        <w:rPr>
          <w:rFonts w:cs="Baskerville SemiBold Italic"/>
        </w:rPr>
        <w:t>,</w:t>
      </w:r>
      <w:r w:rsidRPr="00077EDF">
        <w:rPr>
          <w:rFonts w:cs="Baskerville SemiBold Italic"/>
        </w:rPr>
        <w:t xml:space="preserve"> and several Internet news organizations contributed to </w:t>
      </w:r>
      <w:r w:rsidR="007F440A">
        <w:rPr>
          <w:rFonts w:cs="Baskerville SemiBold Italic"/>
        </w:rPr>
        <w:t>its</w:t>
      </w:r>
      <w:r w:rsidRPr="00077EDF">
        <w:rPr>
          <w:rFonts w:cs="Baskerville SemiBold Italic"/>
        </w:rPr>
        <w:t xml:space="preserve"> </w:t>
      </w:r>
      <w:r w:rsidR="004F27F2">
        <w:rPr>
          <w:rFonts w:cs="Baskerville SemiBold Italic"/>
        </w:rPr>
        <w:t xml:space="preserve">broad </w:t>
      </w:r>
      <w:r w:rsidRPr="00077EDF">
        <w:rPr>
          <w:rFonts w:cs="Baskerville SemiBold Italic"/>
        </w:rPr>
        <w:t xml:space="preserve">coverage.  </w:t>
      </w:r>
      <w:r w:rsidRPr="00077EDF">
        <w:t>T</w:t>
      </w:r>
      <w:r w:rsidRPr="00077EDF">
        <w:rPr>
          <w:rFonts w:cs="Baskerville SemiBold Italic"/>
        </w:rPr>
        <w:t xml:space="preserve">he spill even impacted popular culture, with an appearance on Conan O’Brien’s TBS show </w:t>
      </w:r>
      <w:r w:rsidRPr="00077EDF">
        <w:rPr>
          <w:rFonts w:cs="Baskerville SemiBold Italic"/>
          <w:i/>
        </w:rPr>
        <w:t>Conan</w:t>
      </w:r>
      <w:r w:rsidRPr="00077EDF">
        <w:rPr>
          <w:rFonts w:cs="Baskerville SemiBold Italic"/>
        </w:rPr>
        <w:t>, in the form of a fake ad for the ultimate extreme sport</w:t>
      </w:r>
      <w:r w:rsidR="004F27F2">
        <w:rPr>
          <w:rFonts w:cs="Baskerville SemiBold Italic"/>
        </w:rPr>
        <w:t xml:space="preserve">: </w:t>
      </w:r>
      <w:r w:rsidRPr="00077EDF">
        <w:rPr>
          <w:rFonts w:cs="Baskerville SemiBold Italic"/>
        </w:rPr>
        <w:t xml:space="preserve"> “The Colorado Natural Disaster Ultimate River Rapids Extreme </w:t>
      </w:r>
      <w:r>
        <w:rPr>
          <w:rFonts w:cs="Baskerville SemiBold Italic"/>
        </w:rPr>
        <w:t>Kayaking Adrenaladventure Tours</w:t>
      </w:r>
      <w:r w:rsidRPr="00077EDF">
        <w:rPr>
          <w:rFonts w:cs="Baskerville SemiBold Italic"/>
        </w:rPr>
        <w:t>”</w:t>
      </w:r>
      <w:r>
        <w:rPr>
          <w:rFonts w:cs="Baskerville SemiBold Italic"/>
        </w:rPr>
        <w:t xml:space="preserve"> (Butler 2015).</w:t>
      </w:r>
    </w:p>
    <w:p w14:paraId="0BFE0123" w14:textId="44CFE7D9" w:rsidR="00162EC0" w:rsidRPr="007C79AC" w:rsidRDefault="00162EC0" w:rsidP="00162EC0">
      <w:pPr>
        <w:pStyle w:val="EndnoteText"/>
        <w:spacing w:line="480" w:lineRule="auto"/>
        <w:ind w:firstLine="720"/>
        <w:rPr>
          <w:rFonts w:cs="Baskerville SemiBold Italic"/>
        </w:rPr>
      </w:pPr>
      <w:r w:rsidRPr="00077EDF">
        <w:rPr>
          <w:rFonts w:cs="Baskerville SemiBold Italic"/>
        </w:rPr>
        <w:t>In the days and weeks following the GKM</w:t>
      </w:r>
      <w:r>
        <w:rPr>
          <w:rFonts w:cs="Baskerville SemiBold Italic"/>
        </w:rPr>
        <w:t xml:space="preserve"> event</w:t>
      </w:r>
      <w:r w:rsidRPr="00077EDF">
        <w:rPr>
          <w:rFonts w:cs="Baskerville SemiBold Italic"/>
        </w:rPr>
        <w:t xml:space="preserve">, journalists from multiple outlets took their cue from the </w:t>
      </w:r>
      <w:r w:rsidR="004F27F2">
        <w:rPr>
          <w:rFonts w:cs="Baskerville SemiBold Italic"/>
        </w:rPr>
        <w:t xml:space="preserve">discolored </w:t>
      </w:r>
      <w:r w:rsidRPr="00077EDF">
        <w:rPr>
          <w:rFonts w:cs="Baskerville SemiBold Italic"/>
        </w:rPr>
        <w:t xml:space="preserve">river, describing the plume of AMD in a range of near-apocalyptic terms.  For example, </w:t>
      </w:r>
      <w:r w:rsidR="00BB20F2">
        <w:rPr>
          <w:rFonts w:cs="Baskerville SemiBold Italic"/>
        </w:rPr>
        <w:t>two days following the spill</w:t>
      </w:r>
      <w:r w:rsidR="008243B3">
        <w:rPr>
          <w:rFonts w:cs="Baskerville SemiBold Italic"/>
        </w:rPr>
        <w:t xml:space="preserve">, the </w:t>
      </w:r>
      <w:r w:rsidRPr="00077EDF">
        <w:rPr>
          <w:rFonts w:cs="Baskerville SemiBold Italic"/>
          <w:i/>
        </w:rPr>
        <w:t>Washingt</w:t>
      </w:r>
      <w:r w:rsidR="0075509C">
        <w:rPr>
          <w:rFonts w:cs="Baskerville SemiBold Italic"/>
          <w:i/>
        </w:rPr>
        <w:t>j</w:t>
      </w:r>
      <w:r w:rsidRPr="00077EDF">
        <w:rPr>
          <w:rFonts w:cs="Baskerville SemiBold Italic"/>
          <w:i/>
        </w:rPr>
        <w:t>on Post</w:t>
      </w:r>
      <w:r w:rsidRPr="00077EDF">
        <w:rPr>
          <w:rFonts w:cs="Baskerville SemiBold Italic"/>
        </w:rPr>
        <w:t xml:space="preserve"> used the phrase</w:t>
      </w:r>
      <w:r w:rsidR="004F27F2">
        <w:rPr>
          <w:rFonts w:cs="Baskerville SemiBold Italic"/>
        </w:rPr>
        <w:t>:</w:t>
      </w:r>
      <w:r w:rsidRPr="00077EDF">
        <w:rPr>
          <w:rFonts w:cs="Baskerville SemiBold Italic"/>
        </w:rPr>
        <w:t xml:space="preserve"> “a million gallons of filthy yellow mustard” </w:t>
      </w:r>
      <w:r>
        <w:rPr>
          <w:rFonts w:cs="Baskerville SemiBold Italic"/>
        </w:rPr>
        <w:t xml:space="preserve">in an article’s title </w:t>
      </w:r>
      <w:r w:rsidRPr="00077EDF">
        <w:rPr>
          <w:rFonts w:cs="Baskerville SemiBold Italic"/>
        </w:rPr>
        <w:t>to describe the incident.</w:t>
      </w:r>
      <w:r w:rsidRPr="00783095">
        <w:rPr>
          <w:rStyle w:val="EndnoteReference"/>
          <w:rFonts w:cs="Baskerville SemiBold Italic"/>
          <w:sz w:val="20"/>
          <w:szCs w:val="20"/>
        </w:rPr>
        <w:endnoteReference w:id="17"/>
      </w:r>
      <w:r w:rsidRPr="00783095">
        <w:rPr>
          <w:rFonts w:cs="Baskerville SemiBold Italic"/>
          <w:sz w:val="20"/>
          <w:szCs w:val="20"/>
        </w:rPr>
        <w:t xml:space="preserve"> </w:t>
      </w:r>
      <w:r w:rsidRPr="00077EDF">
        <w:rPr>
          <w:rFonts w:cs="Baskerville SemiBold Italic"/>
        </w:rPr>
        <w:t xml:space="preserve"> Another outlet used the phrase</w:t>
      </w:r>
      <w:r w:rsidR="004F27F2">
        <w:rPr>
          <w:rFonts w:cs="Baskerville SemiBold Italic"/>
        </w:rPr>
        <w:t>:</w:t>
      </w:r>
      <w:r w:rsidRPr="00077EDF">
        <w:rPr>
          <w:rFonts w:cs="Baskerville SemiBold Italic"/>
        </w:rPr>
        <w:t xml:space="preserve"> “a puke-colored plume of mine runoff</w:t>
      </w:r>
      <w:r w:rsidR="00F61D44">
        <w:rPr>
          <w:rFonts w:cs="Baskerville SemiBold Italic"/>
        </w:rPr>
        <w:t>.</w:t>
      </w:r>
      <w:r w:rsidRPr="00077EDF">
        <w:rPr>
          <w:rFonts w:cs="Baskerville SemiBold Italic"/>
        </w:rPr>
        <w:t>”</w:t>
      </w:r>
      <w:r w:rsidRPr="00783095">
        <w:rPr>
          <w:rStyle w:val="EndnoteReference"/>
          <w:rFonts w:cs="Baskerville SemiBold Italic"/>
          <w:sz w:val="20"/>
          <w:szCs w:val="20"/>
        </w:rPr>
        <w:endnoteReference w:id="18"/>
      </w:r>
    </w:p>
    <w:p w14:paraId="2A7E5736" w14:textId="77777777" w:rsidR="00162EC0" w:rsidRPr="00077EDF" w:rsidRDefault="00162EC0" w:rsidP="00162EC0">
      <w:pPr>
        <w:widowControl w:val="0"/>
        <w:autoSpaceDE w:val="0"/>
        <w:autoSpaceDN w:val="0"/>
        <w:adjustRightInd w:val="0"/>
        <w:spacing w:line="480" w:lineRule="auto"/>
        <w:ind w:firstLine="720"/>
        <w:rPr>
          <w:rFonts w:cs="Baskerville SemiBold Italic"/>
        </w:rPr>
      </w:pPr>
      <w:r w:rsidRPr="00077EDF">
        <w:rPr>
          <w:rFonts w:cs="Baskerville SemiBold Italic"/>
        </w:rPr>
        <w:t>This type of intense, sensationalized media coverage has drawn the attention of many who specialize in the study of media and communications.  For example, consider the following interpretation of the GKM event and resulting media coverage from Pulitzer Prize winning author Michael Kodas:</w:t>
      </w:r>
    </w:p>
    <w:p w14:paraId="4BE46EA2" w14:textId="77777777" w:rsidR="00162EC0" w:rsidRPr="00077EDF" w:rsidRDefault="00162EC0" w:rsidP="00162EC0">
      <w:pPr>
        <w:widowControl w:val="0"/>
        <w:autoSpaceDE w:val="0"/>
        <w:autoSpaceDN w:val="0"/>
        <w:adjustRightInd w:val="0"/>
        <w:jc w:val="both"/>
        <w:rPr>
          <w:rFonts w:cs="Baskerville SemiBold Italic"/>
        </w:rPr>
      </w:pPr>
      <w:r w:rsidRPr="00077EDF">
        <w:rPr>
          <w:rFonts w:cs="Baskerville SemiBold Italic"/>
        </w:rPr>
        <w:t>“Of course, most simply, the color made for such a dramatic image.  Anyone, anywhere in the world, even if they didn’t speak English, could look at that spectacularly scenic river and see that something wasn’t right. Visuals drive so much news coverage anymore.  Even more importantly, the fact that the EPA has become such a political football in the last couple of years has allowed several presidential candidates not generally renowned for their environmental leanings to attack the EPA as environmental protectors.  Particularly for the international media, which is fascinated by the reality TV show of American presidential politics, they found all the outlandish statements about the Animas River in this political sideshow as colorful as the incident itself.  Also, there’s a worldwide mythology of the American West, from the different landscapes to the miners, cowboys and rugged individuals who settled the West, which really fascinates countries that are centuries or millennia past that stage in their own history.”</w:t>
      </w:r>
      <w:r w:rsidRPr="00783095">
        <w:rPr>
          <w:rStyle w:val="EndnoteReference"/>
          <w:rFonts w:cs="Baskerville SemiBold Italic"/>
          <w:sz w:val="20"/>
          <w:szCs w:val="20"/>
        </w:rPr>
        <w:endnoteReference w:id="19"/>
      </w:r>
    </w:p>
    <w:p w14:paraId="157529A6" w14:textId="77777777" w:rsidR="00162EC0" w:rsidRPr="00077EDF" w:rsidRDefault="00162EC0" w:rsidP="00162EC0">
      <w:pPr>
        <w:widowControl w:val="0"/>
        <w:autoSpaceDE w:val="0"/>
        <w:autoSpaceDN w:val="0"/>
        <w:adjustRightInd w:val="0"/>
        <w:spacing w:line="480" w:lineRule="auto"/>
        <w:rPr>
          <w:rFonts w:cs="Baskerville SemiBold Italic"/>
        </w:rPr>
      </w:pPr>
    </w:p>
    <w:p w14:paraId="4ACB9541" w14:textId="21273AA9" w:rsidR="00162EC0" w:rsidRDefault="00162EC0" w:rsidP="00162EC0">
      <w:pPr>
        <w:widowControl w:val="0"/>
        <w:autoSpaceDE w:val="0"/>
        <w:autoSpaceDN w:val="0"/>
        <w:adjustRightInd w:val="0"/>
        <w:spacing w:line="480" w:lineRule="auto"/>
        <w:ind w:firstLine="720"/>
        <w:rPr>
          <w:rFonts w:cs="Baskerville SemiBold Italic"/>
        </w:rPr>
      </w:pPr>
      <w:r w:rsidRPr="00077EDF">
        <w:rPr>
          <w:rFonts w:cs="Baskerville SemiBold Italic"/>
        </w:rPr>
        <w:lastRenderedPageBreak/>
        <w:t xml:space="preserve">According Birkland (1997; 2007), the initial reaction to an event is most readily detectable via the news media, especially the 24-hour news cycle, which makes sudden, unexpected, and calamitous events particularly attractive for ongoing coverage.  Birkland </w:t>
      </w:r>
      <w:r>
        <w:rPr>
          <w:rFonts w:cs="Baskerville SemiBold Italic"/>
        </w:rPr>
        <w:t xml:space="preserve">further </w:t>
      </w:r>
      <w:r w:rsidRPr="00077EDF">
        <w:rPr>
          <w:rFonts w:cs="Baskerville SemiBold Italic"/>
        </w:rPr>
        <w:t xml:space="preserve">asserts that environmental disasters are much more likely to yield highly photogenic stories when compared to events that require a compilation of </w:t>
      </w:r>
      <w:r>
        <w:rPr>
          <w:rFonts w:cs="Baskerville SemiBold Italic"/>
        </w:rPr>
        <w:t xml:space="preserve">data and </w:t>
      </w:r>
      <w:r w:rsidRPr="00077EDF">
        <w:rPr>
          <w:rFonts w:cs="Baskerville SemiBold Italic"/>
        </w:rPr>
        <w:t>indicators, and perhaps changes</w:t>
      </w:r>
      <w:r>
        <w:rPr>
          <w:rFonts w:cs="Baskerville SemiBold Italic"/>
        </w:rPr>
        <w:t xml:space="preserve"> in magnitude</w:t>
      </w:r>
      <w:r w:rsidRPr="00077EDF">
        <w:rPr>
          <w:rFonts w:cs="Baskerville SemiBold Italic"/>
        </w:rPr>
        <w:t xml:space="preserve">, to convey problem severity.  The GKM event produced an incredibly photogenic story, with a handful of powerful images that quickly went viral around the globe.  </w:t>
      </w:r>
    </w:p>
    <w:p w14:paraId="684803AC" w14:textId="6FC6890B" w:rsidR="00540F6A" w:rsidRPr="00077EDF" w:rsidRDefault="00540F6A" w:rsidP="00F61D44">
      <w:pPr>
        <w:widowControl w:val="0"/>
        <w:autoSpaceDE w:val="0"/>
        <w:autoSpaceDN w:val="0"/>
        <w:adjustRightInd w:val="0"/>
        <w:spacing w:line="480" w:lineRule="auto"/>
        <w:ind w:firstLine="720"/>
        <w:rPr>
          <w:rFonts w:cs="Baskerville SemiBold Italic"/>
        </w:rPr>
      </w:pPr>
      <w:r w:rsidRPr="00077EDF">
        <w:rPr>
          <w:rFonts w:cs="Baskerville SemiBold Italic"/>
        </w:rPr>
        <w:t>T</w:t>
      </w:r>
      <w:r>
        <w:rPr>
          <w:rFonts w:cs="Baskerville SemiBold Italic"/>
        </w:rPr>
        <w:t xml:space="preserve">he </w:t>
      </w:r>
      <w:r w:rsidRPr="00077EDF">
        <w:rPr>
          <w:rFonts w:cs="Baskerville SemiBold Italic"/>
        </w:rPr>
        <w:t>media</w:t>
      </w:r>
      <w:r>
        <w:rPr>
          <w:rFonts w:cs="Baskerville SemiBold Italic"/>
        </w:rPr>
        <w:t>’s role</w:t>
      </w:r>
      <w:r w:rsidRPr="00077EDF">
        <w:rPr>
          <w:rFonts w:cs="Baskerville SemiBold Italic"/>
        </w:rPr>
        <w:t xml:space="preserve"> is especially important to this </w:t>
      </w:r>
      <w:r w:rsidR="00F61D44">
        <w:rPr>
          <w:rFonts w:cs="Baskerville SemiBold Italic"/>
        </w:rPr>
        <w:t>paper</w:t>
      </w:r>
      <w:r w:rsidRPr="00077EDF">
        <w:rPr>
          <w:rFonts w:cs="Baskerville SemiBold Italic"/>
        </w:rPr>
        <w:t xml:space="preserve">, since increased levels of coverage have been shown to correspond with greater levels of public and political </w:t>
      </w:r>
      <w:r>
        <w:rPr>
          <w:rFonts w:cs="Baskerville SemiBold Italic"/>
        </w:rPr>
        <w:t xml:space="preserve">attention to problems (Birkland 1997; 2007; Smith 1992).   </w:t>
      </w:r>
      <w:r w:rsidR="00F61D44">
        <w:rPr>
          <w:rFonts w:cs="Baskerville SemiBold Italic"/>
        </w:rPr>
        <w:t>Further, t</w:t>
      </w:r>
      <w:r w:rsidRPr="00077EDF">
        <w:rPr>
          <w:rFonts w:cs="Baskerville SemiBold Italic"/>
        </w:rPr>
        <w:t xml:space="preserve">he social construction of </w:t>
      </w:r>
      <w:r>
        <w:rPr>
          <w:rFonts w:cs="Baskerville SemiBold Italic"/>
        </w:rPr>
        <w:t xml:space="preserve">stories, metaphors, and symbols often serves </w:t>
      </w:r>
      <w:r w:rsidRPr="00077EDF">
        <w:rPr>
          <w:rFonts w:cs="Baskerville SemiBold Italic"/>
        </w:rPr>
        <w:t>to advance (or limit) the movement of issues on both public and political agendas</w:t>
      </w:r>
      <w:r w:rsidR="00F61D44">
        <w:rPr>
          <w:rFonts w:cs="Baskerville SemiBold Italic"/>
        </w:rPr>
        <w:t xml:space="preserve"> (Stone 1997)</w:t>
      </w:r>
      <w:r w:rsidRPr="00077EDF">
        <w:rPr>
          <w:rFonts w:cs="Baskerville SemiBold Italic"/>
        </w:rPr>
        <w:t>.  Social construction refers to the general process by which societies collectively define and explain the natu</w:t>
      </w:r>
      <w:r>
        <w:rPr>
          <w:rFonts w:cs="Baskerville SemiBold Italic"/>
        </w:rPr>
        <w:t>re and cause of problems (</w:t>
      </w:r>
      <w:r w:rsidR="00F61D44">
        <w:rPr>
          <w:rFonts w:cs="Baskerville SemiBold Italic"/>
        </w:rPr>
        <w:t>ibid</w:t>
      </w:r>
      <w:r w:rsidRPr="00077EDF">
        <w:rPr>
          <w:rFonts w:cs="Baskerville SemiBold Italic"/>
        </w:rPr>
        <w:t>).  Since journalists use symbols (i.e., images) and stories (i.e., narratives) to frame and explain complex issues and events, the public – as news consumers – respond to particular images and stories as they interpret the nature and causes of problems.</w:t>
      </w:r>
    </w:p>
    <w:p w14:paraId="2A022C92" w14:textId="3261CBAA" w:rsidR="00F61D44" w:rsidRPr="00077EDF" w:rsidRDefault="00540F6A" w:rsidP="006E2F8E">
      <w:pPr>
        <w:widowControl w:val="0"/>
        <w:autoSpaceDE w:val="0"/>
        <w:autoSpaceDN w:val="0"/>
        <w:adjustRightInd w:val="0"/>
        <w:spacing w:line="480" w:lineRule="auto"/>
        <w:ind w:firstLine="720"/>
        <w:rPr>
          <w:rFonts w:cs="Baskerville SemiBold Italic"/>
        </w:rPr>
      </w:pPr>
      <w:r w:rsidRPr="00077EDF">
        <w:rPr>
          <w:rFonts w:cs="Baskerville SemiBold Italic"/>
        </w:rPr>
        <w:t xml:space="preserve">Regardless of nationality or language spoken, everyday citizens intuitively </w:t>
      </w:r>
      <w:r>
        <w:rPr>
          <w:rFonts w:cs="Baskerville SemiBold Italic"/>
        </w:rPr>
        <w:t>recognize</w:t>
      </w:r>
      <w:r w:rsidR="008243B3">
        <w:rPr>
          <w:rFonts w:cs="Baskerville SemiBold Italic"/>
        </w:rPr>
        <w:t>d</w:t>
      </w:r>
      <w:r>
        <w:rPr>
          <w:rFonts w:cs="Baskerville SemiBold Italic"/>
        </w:rPr>
        <w:t xml:space="preserve"> </w:t>
      </w:r>
      <w:r w:rsidRPr="00077EDF">
        <w:rPr>
          <w:rFonts w:cs="Baskerville SemiBold Italic"/>
        </w:rPr>
        <w:t>that a dayglow</w:t>
      </w:r>
      <w:r w:rsidR="00F61D44">
        <w:rPr>
          <w:rFonts w:cs="Baskerville SemiBold Italic"/>
        </w:rPr>
        <w:t>-</w:t>
      </w:r>
      <w:r w:rsidRPr="00077EDF">
        <w:rPr>
          <w:rFonts w:cs="Baskerville SemiBold Italic"/>
        </w:rPr>
        <w:t xml:space="preserve">orange river is not normal, but rather indicative of something very unusual and unnatural.  The </w:t>
      </w:r>
      <w:r w:rsidRPr="00077EDF">
        <w:t>focality</w:t>
      </w:r>
      <w:r w:rsidRPr="00077EDF">
        <w:rPr>
          <w:rFonts w:cs="Baskerville SemiBold Italic"/>
        </w:rPr>
        <w:t xml:space="preserve"> of the mine spill confirmed that the discolored river had a central or definit</w:t>
      </w:r>
      <w:r>
        <w:rPr>
          <w:rFonts w:cs="Baskerville SemiBold Italic"/>
        </w:rPr>
        <w:t>ive point of origin – the lowermost portal</w:t>
      </w:r>
      <w:r w:rsidR="007F440A">
        <w:rPr>
          <w:rFonts w:cs="Baskerville SemiBold Italic"/>
        </w:rPr>
        <w:t xml:space="preserve"> </w:t>
      </w:r>
      <w:r w:rsidRPr="00077EDF">
        <w:rPr>
          <w:rFonts w:cs="Baskerville SemiBold Italic"/>
        </w:rPr>
        <w:t>at</w:t>
      </w:r>
      <w:r>
        <w:rPr>
          <w:rFonts w:cs="Baskerville SemiBold Italic"/>
        </w:rPr>
        <w:t xml:space="preserve"> </w:t>
      </w:r>
      <w:r w:rsidRPr="00077EDF">
        <w:rPr>
          <w:rFonts w:cs="Baskerville SemiBold Italic"/>
        </w:rPr>
        <w:t>GKM</w:t>
      </w:r>
      <w:r w:rsidR="008243B3">
        <w:rPr>
          <w:rFonts w:cs="Baskerville SemiBold Italic"/>
        </w:rPr>
        <w:t xml:space="preserve"> </w:t>
      </w:r>
      <w:r w:rsidR="00F61D44">
        <w:rPr>
          <w:rFonts w:cs="Baskerville SemiBold Italic"/>
        </w:rPr>
        <w:t>just north of Silverton, CO</w:t>
      </w:r>
      <w:r w:rsidRPr="00077EDF">
        <w:rPr>
          <w:rFonts w:cs="Baskerville SemiBold Italic"/>
        </w:rPr>
        <w:t xml:space="preserve">.   And while some focusing events derive their power </w:t>
      </w:r>
      <w:r>
        <w:rPr>
          <w:rFonts w:cs="Baskerville SemiBold Italic"/>
        </w:rPr>
        <w:t xml:space="preserve">and influence </w:t>
      </w:r>
      <w:r w:rsidRPr="00077EDF">
        <w:rPr>
          <w:rFonts w:cs="Baskerville SemiBold Italic"/>
        </w:rPr>
        <w:t>from objective attri</w:t>
      </w:r>
      <w:r>
        <w:rPr>
          <w:rFonts w:cs="Baskerville SemiBold Italic"/>
        </w:rPr>
        <w:t xml:space="preserve">butes of a particular </w:t>
      </w:r>
      <w:r>
        <w:rPr>
          <w:rFonts w:cs="Baskerville SemiBold Italic"/>
        </w:rPr>
        <w:lastRenderedPageBreak/>
        <w:t>event (e.g</w:t>
      </w:r>
      <w:r w:rsidRPr="00077EDF">
        <w:rPr>
          <w:rFonts w:cs="Baskerville SemiBold Italic"/>
        </w:rPr>
        <w:t>., gallons spilled, chemicals released</w:t>
      </w:r>
      <w:r>
        <w:rPr>
          <w:rFonts w:cs="Baskerville SemiBold Italic"/>
        </w:rPr>
        <w:t xml:space="preserve">, lives lost, </w:t>
      </w:r>
      <w:r w:rsidRPr="00077EDF">
        <w:rPr>
          <w:rFonts w:cs="Baskerville SemiBold Italic"/>
        </w:rPr>
        <w:t xml:space="preserve">or people affected), media portrayal and social construction may enhance and focus this power by reducing focusing events to simple, unnerving, and/or graphic images that are symbolic of larger, more complex problems (Birkland, 1997).  The focal power of a </w:t>
      </w:r>
      <w:r>
        <w:rPr>
          <w:rFonts w:cs="Baskerville SemiBold Italic"/>
        </w:rPr>
        <w:t xml:space="preserve">surreally </w:t>
      </w:r>
      <w:r w:rsidRPr="00077EDF">
        <w:rPr>
          <w:rFonts w:cs="Baskerville SemiBold Italic"/>
        </w:rPr>
        <w:t>discolored Animas River ultimately proved greater than the numerical indicators</w:t>
      </w:r>
      <w:r>
        <w:rPr>
          <w:rFonts w:cs="Baskerville SemiBold Italic"/>
        </w:rPr>
        <w:t xml:space="preserve"> associated with water quality, acidity, and fish mortality following the spill.  </w:t>
      </w:r>
      <w:r w:rsidRPr="00077EDF">
        <w:rPr>
          <w:rFonts w:cs="Baskerville SemiBold Italic"/>
        </w:rPr>
        <w:t xml:space="preserve">And the symbolic propagation of the orange river was greatly facilitated by the intense, international media coverage that converged on </w:t>
      </w:r>
      <w:r w:rsidR="007F440A">
        <w:rPr>
          <w:rFonts w:cs="Baskerville SemiBold Italic"/>
        </w:rPr>
        <w:t xml:space="preserve">the </w:t>
      </w:r>
      <w:r w:rsidRPr="00077EDF">
        <w:rPr>
          <w:rFonts w:cs="Baskerville SemiBold Italic"/>
        </w:rPr>
        <w:t xml:space="preserve">seemingly-pristine river, flowing through a scenic mountain valley in a secluded corner of the southwestern US. </w:t>
      </w:r>
    </w:p>
    <w:p w14:paraId="0D973A53" w14:textId="229DB83A" w:rsidR="00540F6A" w:rsidRPr="00077EDF" w:rsidRDefault="00540F6A" w:rsidP="00540F6A">
      <w:pPr>
        <w:widowControl w:val="0"/>
        <w:autoSpaceDE w:val="0"/>
        <w:autoSpaceDN w:val="0"/>
        <w:adjustRightInd w:val="0"/>
        <w:spacing w:line="480" w:lineRule="auto"/>
        <w:rPr>
          <w:rFonts w:cs="Helvetica"/>
          <w:b/>
          <w:i/>
          <w:color w:val="1A1A1A"/>
        </w:rPr>
      </w:pPr>
      <w:r>
        <w:rPr>
          <w:rFonts w:cs="Helvetica"/>
          <w:b/>
          <w:i/>
          <w:color w:val="1A1A1A"/>
        </w:rPr>
        <w:t>Visual versus Environmental Impacts</w:t>
      </w:r>
      <w:r w:rsidR="00C62831">
        <w:rPr>
          <w:rFonts w:cs="Helvetica"/>
          <w:b/>
          <w:i/>
          <w:color w:val="1A1A1A"/>
        </w:rPr>
        <w:t xml:space="preserve">  (Images versus Indicators)</w:t>
      </w:r>
    </w:p>
    <w:p w14:paraId="4AF898BC" w14:textId="4362CABE" w:rsidR="00EF027E" w:rsidRDefault="00C62831" w:rsidP="00540F6A">
      <w:pPr>
        <w:widowControl w:val="0"/>
        <w:autoSpaceDE w:val="0"/>
        <w:autoSpaceDN w:val="0"/>
        <w:adjustRightInd w:val="0"/>
        <w:spacing w:line="480" w:lineRule="auto"/>
        <w:rPr>
          <w:rFonts w:cs="Baskerville SemiBold Italic"/>
        </w:rPr>
      </w:pPr>
      <w:r>
        <w:rPr>
          <w:rFonts w:cs="Baskerville SemiBold Italic"/>
        </w:rPr>
        <w:t xml:space="preserve">According to mainstream scholars in the areas of agenda setting and policy change, systemic or numerical indicators are critical for garnering and expanding public and political attention to certain problems (e.g., Kingdon </w:t>
      </w:r>
      <w:r w:rsidR="00F56A9D">
        <w:rPr>
          <w:rFonts w:cs="Baskerville SemiBold Italic"/>
        </w:rPr>
        <w:t>2003</w:t>
      </w:r>
      <w:r>
        <w:rPr>
          <w:rFonts w:cs="Baskerville SemiBold Italic"/>
        </w:rPr>
        <w:t xml:space="preserve">; Baumgartner and Jones 1993; 2002; Birkland 1997; 2007).   Such indicators are used to assess both the magnitude of </w:t>
      </w:r>
      <w:r w:rsidR="007F440A">
        <w:rPr>
          <w:rFonts w:cs="Baskerville SemiBold Italic"/>
        </w:rPr>
        <w:t xml:space="preserve">and </w:t>
      </w:r>
      <w:r>
        <w:rPr>
          <w:rFonts w:cs="Baskerville SemiBold Italic"/>
        </w:rPr>
        <w:t xml:space="preserve">change in problem severity.  Yet regarding </w:t>
      </w:r>
      <w:r w:rsidR="00F17CC9">
        <w:rPr>
          <w:rFonts w:cs="Baskerville SemiBold Italic"/>
        </w:rPr>
        <w:t xml:space="preserve">events </w:t>
      </w:r>
      <w:r>
        <w:rPr>
          <w:rFonts w:cs="Baskerville SemiBold Italic"/>
        </w:rPr>
        <w:t xml:space="preserve">that transpired in the months following the GKM spill, indicators of environmental impact and degradation in the form of water quality and aquatic habitat </w:t>
      </w:r>
      <w:r w:rsidR="007F440A">
        <w:rPr>
          <w:rFonts w:cs="Baskerville SemiBold Italic"/>
        </w:rPr>
        <w:t xml:space="preserve">destruction </w:t>
      </w:r>
      <w:r w:rsidR="00F17CC9">
        <w:rPr>
          <w:rFonts w:cs="Baskerville SemiBold Italic"/>
        </w:rPr>
        <w:t xml:space="preserve">were not the driving force behind the significant policy change.  Rather, perceived problem severity was </w:t>
      </w:r>
      <w:r w:rsidR="007F440A">
        <w:rPr>
          <w:rFonts w:cs="Baskerville SemiBold Italic"/>
        </w:rPr>
        <w:t>largely</w:t>
      </w:r>
      <w:r w:rsidR="00F17CC9">
        <w:rPr>
          <w:rFonts w:cs="Baskerville SemiBold Italic"/>
        </w:rPr>
        <w:t xml:space="preserve"> a function of visual images of the discolored river and the ensuring narratives perpetuated via intense media coverage.</w:t>
      </w:r>
    </w:p>
    <w:p w14:paraId="7DA530C1" w14:textId="2900F49B" w:rsidR="00540F6A" w:rsidRPr="00077EDF" w:rsidRDefault="00540F6A" w:rsidP="00F17CC9">
      <w:pPr>
        <w:widowControl w:val="0"/>
        <w:autoSpaceDE w:val="0"/>
        <w:autoSpaceDN w:val="0"/>
        <w:adjustRightInd w:val="0"/>
        <w:spacing w:line="480" w:lineRule="auto"/>
        <w:ind w:firstLine="720"/>
        <w:rPr>
          <w:rFonts w:cs="Baskerville SemiBold Italic"/>
        </w:rPr>
      </w:pPr>
      <w:r w:rsidRPr="00077EDF">
        <w:rPr>
          <w:rFonts w:cs="Baskerville SemiBold Italic"/>
        </w:rPr>
        <w:t>The aforementioned account demonstrate</w:t>
      </w:r>
      <w:r w:rsidR="007F440A">
        <w:rPr>
          <w:rFonts w:cs="Baskerville SemiBold Italic"/>
        </w:rPr>
        <w:t>s</w:t>
      </w:r>
      <w:r w:rsidRPr="00077EDF">
        <w:rPr>
          <w:rFonts w:cs="Baskerville SemiBold Italic"/>
        </w:rPr>
        <w:t xml:space="preserve"> how the GKM spill was a truly </w:t>
      </w:r>
      <w:r w:rsidRPr="00077EDF">
        <w:rPr>
          <w:rFonts w:cs="Baskerville SemiBold Italic"/>
          <w:i/>
        </w:rPr>
        <w:t>visual</w:t>
      </w:r>
      <w:r w:rsidRPr="00077EDF">
        <w:rPr>
          <w:rFonts w:cs="Baskerville SemiBold Italic"/>
        </w:rPr>
        <w:t xml:space="preserve"> focusing event, which garnered widespread attention.  It began, literally, with a forceful blowout.  The ensuing saga surrounding the </w:t>
      </w:r>
      <w:r w:rsidR="00F17CC9">
        <w:rPr>
          <w:rFonts w:cs="Baskerville SemiBold Italic"/>
        </w:rPr>
        <w:t xml:space="preserve">visibly tarnished </w:t>
      </w:r>
      <w:r w:rsidRPr="00077EDF">
        <w:rPr>
          <w:rFonts w:cs="Baskerville SemiBold Italic"/>
        </w:rPr>
        <w:t>river and associated fears about public and environm</w:t>
      </w:r>
      <w:r>
        <w:rPr>
          <w:rFonts w:cs="Baskerville SemiBold Italic"/>
        </w:rPr>
        <w:t>ental health persisted for months</w:t>
      </w:r>
      <w:r w:rsidRPr="00077EDF">
        <w:rPr>
          <w:rFonts w:cs="Baskerville SemiBold Italic"/>
        </w:rPr>
        <w:t>.  For many area residents, su</w:t>
      </w:r>
      <w:r>
        <w:rPr>
          <w:rFonts w:cs="Baskerville SemiBold Italic"/>
        </w:rPr>
        <w:t xml:space="preserve">ch concerns </w:t>
      </w:r>
      <w:r>
        <w:rPr>
          <w:rFonts w:cs="Baskerville SemiBold Italic"/>
        </w:rPr>
        <w:lastRenderedPageBreak/>
        <w:t>remain</w:t>
      </w:r>
      <w:r w:rsidR="00F61D44">
        <w:rPr>
          <w:rFonts w:cs="Baskerville SemiBold Italic"/>
        </w:rPr>
        <w:t xml:space="preserve"> to this day</w:t>
      </w:r>
      <w:r w:rsidRPr="00077EDF">
        <w:rPr>
          <w:rFonts w:cs="Baskerville SemiBold Italic"/>
        </w:rPr>
        <w:t xml:space="preserve">.  </w:t>
      </w:r>
    </w:p>
    <w:p w14:paraId="454C5B91" w14:textId="36237E6D" w:rsidR="00540F6A" w:rsidRDefault="00540F6A" w:rsidP="00540F6A">
      <w:pPr>
        <w:widowControl w:val="0"/>
        <w:autoSpaceDE w:val="0"/>
        <w:autoSpaceDN w:val="0"/>
        <w:adjustRightInd w:val="0"/>
        <w:spacing w:line="480" w:lineRule="auto"/>
        <w:ind w:firstLine="720"/>
        <w:rPr>
          <w:rFonts w:cs="ProximaNova-Regular"/>
        </w:rPr>
      </w:pPr>
      <w:r w:rsidRPr="00C86AF8">
        <w:rPr>
          <w:rFonts w:cs="Baskerville SemiBold Italic"/>
        </w:rPr>
        <w:t>Nonetheless, three years after the GKM event, the general consensus provided by water quality data and biological indicators remains the same – ecological damages to the Animas and San Juan River watershed</w:t>
      </w:r>
      <w:r w:rsidR="007F440A">
        <w:rPr>
          <w:rFonts w:cs="Baskerville SemiBold Italic"/>
        </w:rPr>
        <w:t>s</w:t>
      </w:r>
      <w:r w:rsidRPr="00C86AF8">
        <w:rPr>
          <w:rFonts w:cs="Baskerville SemiBold Italic"/>
        </w:rPr>
        <w:t xml:space="preserve"> were largely temporary and not as severe as originally feared.</w:t>
      </w:r>
      <w:r w:rsidR="00434A4B" w:rsidRPr="00783095">
        <w:rPr>
          <w:rStyle w:val="EndnoteReference"/>
          <w:rFonts w:cs="Baskerville SemiBold Italic"/>
          <w:sz w:val="20"/>
          <w:szCs w:val="20"/>
        </w:rPr>
        <w:endnoteReference w:id="20"/>
      </w:r>
      <w:r w:rsidRPr="00783095">
        <w:rPr>
          <w:rFonts w:cs="Baskerville SemiBold Italic"/>
          <w:sz w:val="20"/>
          <w:szCs w:val="20"/>
        </w:rPr>
        <w:t xml:space="preserve">  </w:t>
      </w:r>
      <w:r w:rsidRPr="00C86AF8">
        <w:rPr>
          <w:rFonts w:cs="Baskerville SemiBold Italic"/>
        </w:rPr>
        <w:t xml:space="preserve"> </w:t>
      </w:r>
      <w:r w:rsidRPr="00C86AF8">
        <w:rPr>
          <w:rFonts w:cs="ProximaNova-Regular"/>
        </w:rPr>
        <w:t>Regarding water quality, tests conducted in Dura</w:t>
      </w:r>
      <w:r>
        <w:rPr>
          <w:rFonts w:cs="ProximaNova-Regular"/>
        </w:rPr>
        <w:t>ngo during the plume’s peak</w:t>
      </w:r>
      <w:r w:rsidRPr="00C86AF8">
        <w:rPr>
          <w:rFonts w:cs="ProximaNova-Regular"/>
        </w:rPr>
        <w:t xml:space="preserve"> found five exceedan</w:t>
      </w:r>
      <w:r>
        <w:rPr>
          <w:rFonts w:cs="ProximaNova-Regular"/>
        </w:rPr>
        <w:t>ces of water quality standards for</w:t>
      </w:r>
      <w:r w:rsidRPr="00C86AF8">
        <w:rPr>
          <w:rFonts w:cs="ProximaNova-Regular"/>
        </w:rPr>
        <w:t xml:space="preserve"> metal concentrations.  Specifically, aluminum levels exceeded the Aquatic Life Acute Standard as set by</w:t>
      </w:r>
      <w:r w:rsidR="00F61D44">
        <w:rPr>
          <w:rFonts w:cs="ProximaNova-Regular"/>
        </w:rPr>
        <w:t xml:space="preserve"> CDPHE</w:t>
      </w:r>
      <w:r w:rsidRPr="00C86AF8">
        <w:rPr>
          <w:rFonts w:cs="ProximaNova-Regular"/>
        </w:rPr>
        <w:t xml:space="preserve">, and levels of arsenic, iron, lead, and thallium exceeded EPA’s Recreational Screening Level.   </w:t>
      </w:r>
      <w:r w:rsidR="007F440A">
        <w:rPr>
          <w:rFonts w:cs="ProximaNova-Regular"/>
        </w:rPr>
        <w:t>Yet a</w:t>
      </w:r>
      <w:r w:rsidRPr="00C86AF8">
        <w:rPr>
          <w:rFonts w:cs="ProximaNova-Regular"/>
        </w:rPr>
        <w:t>fter the initia</w:t>
      </w:r>
      <w:r>
        <w:rPr>
          <w:rFonts w:cs="ProximaNova-Regular"/>
        </w:rPr>
        <w:t>l plume</w:t>
      </w:r>
      <w:r w:rsidRPr="00C86AF8">
        <w:rPr>
          <w:rFonts w:cs="ProximaNova-Regular"/>
        </w:rPr>
        <w:t xml:space="preserve"> passed, no state or federal water quality exceedances </w:t>
      </w:r>
      <w:r w:rsidR="008243B3">
        <w:rPr>
          <w:rFonts w:cs="ProximaNova-Regular"/>
        </w:rPr>
        <w:t>have been</w:t>
      </w:r>
      <w:r>
        <w:rPr>
          <w:rFonts w:cs="ProximaNova-Regular"/>
        </w:rPr>
        <w:t xml:space="preserve"> detected.</w:t>
      </w:r>
      <w:r w:rsidRPr="00783095">
        <w:rPr>
          <w:rStyle w:val="EndnoteReference"/>
          <w:rFonts w:cs="ProximaNova-Regular"/>
          <w:sz w:val="20"/>
          <w:szCs w:val="20"/>
        </w:rPr>
        <w:endnoteReference w:id="21"/>
      </w:r>
      <w:r w:rsidRPr="00783095">
        <w:rPr>
          <w:rFonts w:cs="ProximaNova-Regular"/>
          <w:sz w:val="20"/>
          <w:szCs w:val="20"/>
        </w:rPr>
        <w:t xml:space="preserve"> </w:t>
      </w:r>
    </w:p>
    <w:p w14:paraId="350B3C35" w14:textId="4A5EA094" w:rsidR="00B1634A" w:rsidRDefault="00B1634A" w:rsidP="00B1634A">
      <w:pPr>
        <w:widowControl w:val="0"/>
        <w:autoSpaceDE w:val="0"/>
        <w:autoSpaceDN w:val="0"/>
        <w:adjustRightInd w:val="0"/>
        <w:spacing w:line="480" w:lineRule="auto"/>
        <w:ind w:firstLine="720"/>
        <w:rPr>
          <w:rFonts w:cs="ProximaNova-Regular"/>
        </w:rPr>
      </w:pPr>
      <w:r>
        <w:rPr>
          <w:rFonts w:cs="Georgia"/>
        </w:rPr>
        <w:t xml:space="preserve">In anticipation of the plume’s </w:t>
      </w:r>
      <w:r w:rsidRPr="00C86AF8">
        <w:rPr>
          <w:rFonts w:cs="Georgia"/>
        </w:rPr>
        <w:t>arrival</w:t>
      </w:r>
      <w:r>
        <w:rPr>
          <w:rFonts w:cs="Georgia"/>
        </w:rPr>
        <w:t xml:space="preserve"> to Durango during the first days following the</w:t>
      </w:r>
      <w:r w:rsidR="007F440A">
        <w:rPr>
          <w:rFonts w:cs="Georgia"/>
        </w:rPr>
        <w:t xml:space="preserve"> spill</w:t>
      </w:r>
      <w:r w:rsidRPr="00C86AF8">
        <w:rPr>
          <w:rFonts w:cs="Georgia"/>
        </w:rPr>
        <w:t xml:space="preserve">, the </w:t>
      </w:r>
      <w:r w:rsidRPr="00C86AF8">
        <w:t>Colorado Department of Parks and Wildlife (CDPW) placed 108 fingerling trout – measuring 1½ to 2 inches in length – in pens</w:t>
      </w:r>
      <w:r>
        <w:t xml:space="preserve"> along the r</w:t>
      </w:r>
      <w:r w:rsidRPr="00C86AF8">
        <w:t>iver</w:t>
      </w:r>
      <w:r>
        <w:t xml:space="preserve"> in Durango</w:t>
      </w:r>
      <w:r w:rsidRPr="00C86AF8">
        <w:t xml:space="preserve">, in order to evaluate impacts.  After enduring the full effect of the toxic plume, the fish remained in place for the following week and were monitored daily by biologists.  With the exception of one that reportedly died immediately from unrelated causes, all the fish survived, prompting a spokesperson from CDPW to state the following, </w:t>
      </w:r>
      <w:r w:rsidRPr="001575EB">
        <w:t>“Our biologists were really surprised.  That plume of acid runoff looked pretty bad. Survival, honestly, wasn’t expected”  (Benjamin, 2015).</w:t>
      </w:r>
    </w:p>
    <w:p w14:paraId="0B118018" w14:textId="39CD30A3" w:rsidR="00B1634A" w:rsidRDefault="00B1634A" w:rsidP="00B1634A">
      <w:pPr>
        <w:widowControl w:val="0"/>
        <w:autoSpaceDE w:val="0"/>
        <w:autoSpaceDN w:val="0"/>
        <w:adjustRightInd w:val="0"/>
        <w:spacing w:line="480" w:lineRule="auto"/>
        <w:ind w:firstLine="720"/>
        <w:rPr>
          <w:rFonts w:cs="ProximaNova-Regular"/>
        </w:rPr>
      </w:pPr>
      <w:r w:rsidRPr="00C86AF8">
        <w:t xml:space="preserve">The fish were subsequently collected and taken to Denver where they were dissected and tested for metal accumulations in tissue and internal organs. Test results were inconclusive, suggesting no significant evidence of heavy metals loading.  </w:t>
      </w:r>
      <w:r w:rsidR="007F440A">
        <w:t>For the most part, t</w:t>
      </w:r>
      <w:r w:rsidRPr="00C86AF8">
        <w:t xml:space="preserve">his has been attributed to the fact </w:t>
      </w:r>
      <w:r>
        <w:t xml:space="preserve">that the Animas River has been impacted </w:t>
      </w:r>
      <w:r w:rsidRPr="00C86AF8">
        <w:t xml:space="preserve">by </w:t>
      </w:r>
      <w:r>
        <w:t>AMD for more than a century</w:t>
      </w:r>
      <w:r w:rsidR="008243B3">
        <w:t xml:space="preserve"> (and ARD for millennia)</w:t>
      </w:r>
      <w:r w:rsidRPr="00C86AF8">
        <w:t xml:space="preserve">; while this long-term exposure has been detrimental to fish </w:t>
      </w:r>
      <w:r w:rsidRPr="00C86AF8">
        <w:lastRenderedPageBreak/>
        <w:t>populations, it is likely that resident populations have developed tolerance to local conditions and increased resiliency (</w:t>
      </w:r>
      <w:r w:rsidR="007F440A">
        <w:t>i</w:t>
      </w:r>
      <w:r>
        <w:t>bid</w:t>
      </w:r>
      <w:r w:rsidRPr="00C86AF8">
        <w:t xml:space="preserve">).   </w:t>
      </w:r>
      <w:r>
        <w:t xml:space="preserve">And despite the jolt of metals released by the spill, it was a fast-moving event, which inhibited deposition of a significant blanket of metals on the riverbed (Ibid).  </w:t>
      </w:r>
    </w:p>
    <w:p w14:paraId="378CF120" w14:textId="2BF51EEF" w:rsidR="00B1634A" w:rsidRDefault="00B1634A" w:rsidP="00B1634A">
      <w:pPr>
        <w:widowControl w:val="0"/>
        <w:autoSpaceDE w:val="0"/>
        <w:autoSpaceDN w:val="0"/>
        <w:adjustRightInd w:val="0"/>
        <w:spacing w:line="480" w:lineRule="auto"/>
        <w:ind w:firstLine="720"/>
        <w:rPr>
          <w:rFonts w:cs="ProximaNova-Regular"/>
        </w:rPr>
      </w:pPr>
      <w:r>
        <w:rPr>
          <w:rFonts w:cs="ProximaNova-Regular"/>
        </w:rPr>
        <w:t xml:space="preserve">Only </w:t>
      </w:r>
      <w:r w:rsidRPr="00C86AF8">
        <w:rPr>
          <w:rFonts w:cs="ProximaNova-Regular"/>
        </w:rPr>
        <w:t xml:space="preserve">seven days </w:t>
      </w:r>
      <w:r>
        <w:rPr>
          <w:rFonts w:cs="ProximaNova-Regular"/>
        </w:rPr>
        <w:t xml:space="preserve">after the plume passed Durango, </w:t>
      </w:r>
      <w:r w:rsidRPr="00C86AF8">
        <w:rPr>
          <w:rFonts w:cs="ProximaNova-Regular"/>
        </w:rPr>
        <w:t xml:space="preserve">CDPHE </w:t>
      </w:r>
      <w:r>
        <w:rPr>
          <w:rFonts w:cs="ProximaNova-Regular"/>
        </w:rPr>
        <w:t>notified</w:t>
      </w:r>
      <w:r w:rsidRPr="00C86AF8">
        <w:rPr>
          <w:rFonts w:cs="ProximaNova-Regular"/>
        </w:rPr>
        <w:t xml:space="preserve"> the City that public water systems were authorized to reopen their intake structures; </w:t>
      </w:r>
      <w:r w:rsidRPr="00C86AF8">
        <w:rPr>
          <w:rFonts w:cs="Tahoma"/>
        </w:rPr>
        <w:t>three days later, the New Mexico Environment Department lifted the ban on San Juan County’s drinking water system supplied by the Animas and San Juan Rivers.</w:t>
      </w:r>
      <w:r w:rsidRPr="00783095">
        <w:rPr>
          <w:rStyle w:val="EndnoteReference"/>
          <w:rFonts w:cs="Tahoma"/>
          <w:sz w:val="20"/>
          <w:szCs w:val="20"/>
        </w:rPr>
        <w:endnoteReference w:id="22"/>
      </w:r>
      <w:r w:rsidRPr="00783095">
        <w:rPr>
          <w:rFonts w:cs="Tahoma"/>
          <w:sz w:val="20"/>
          <w:szCs w:val="20"/>
        </w:rPr>
        <w:t xml:space="preserve"> </w:t>
      </w:r>
      <w:r w:rsidRPr="00C86AF8">
        <w:rPr>
          <w:rFonts w:cs="Tahoma"/>
        </w:rPr>
        <w:t xml:space="preserve"> </w:t>
      </w:r>
      <w:r w:rsidRPr="00C86AF8">
        <w:rPr>
          <w:rFonts w:cs="ProximaNova-Regular"/>
        </w:rPr>
        <w:t xml:space="preserve">And </w:t>
      </w:r>
      <w:r>
        <w:rPr>
          <w:rFonts w:cs="ProximaNova-Regular"/>
        </w:rPr>
        <w:t xml:space="preserve">less than two weeks after the spill, the La Plata County Sheriff reopened the Animas to </w:t>
      </w:r>
      <w:r w:rsidR="005033C2">
        <w:rPr>
          <w:rFonts w:cs="ProximaNova-Regular"/>
        </w:rPr>
        <w:t xml:space="preserve">all </w:t>
      </w:r>
      <w:r>
        <w:rPr>
          <w:rFonts w:cs="ProximaNova-Regular"/>
        </w:rPr>
        <w:t>recreation</w:t>
      </w:r>
      <w:r w:rsidRPr="00C86AF8">
        <w:rPr>
          <w:rFonts w:cs="ProximaNova-Regular"/>
        </w:rPr>
        <w:t>.</w:t>
      </w:r>
      <w:r w:rsidRPr="00783095">
        <w:rPr>
          <w:rStyle w:val="EndnoteReference"/>
          <w:rFonts w:cs="ProximaNova-Regular"/>
          <w:sz w:val="20"/>
          <w:szCs w:val="20"/>
        </w:rPr>
        <w:endnoteReference w:id="23"/>
      </w:r>
      <w:r w:rsidRPr="00783095">
        <w:rPr>
          <w:rFonts w:cs="ProximaNova-Regular"/>
          <w:sz w:val="20"/>
          <w:szCs w:val="20"/>
        </w:rPr>
        <w:t xml:space="preserve"> </w:t>
      </w:r>
      <w:r w:rsidRPr="00C86AF8">
        <w:rPr>
          <w:rFonts w:cs="ProximaNova-Regular"/>
        </w:rPr>
        <w:t xml:space="preserve">  </w:t>
      </w:r>
    </w:p>
    <w:p w14:paraId="0000CB30" w14:textId="72910FA3" w:rsidR="00B1634A" w:rsidRPr="00B1634A" w:rsidRDefault="00B1634A" w:rsidP="00B1634A">
      <w:pPr>
        <w:widowControl w:val="0"/>
        <w:autoSpaceDE w:val="0"/>
        <w:autoSpaceDN w:val="0"/>
        <w:adjustRightInd w:val="0"/>
        <w:spacing w:line="480" w:lineRule="auto"/>
        <w:ind w:firstLine="720"/>
        <w:rPr>
          <w:rFonts w:cs="Baskerville SemiBold Italic"/>
        </w:rPr>
      </w:pPr>
      <w:r w:rsidRPr="00C86AF8">
        <w:rPr>
          <w:rFonts w:cs="Baskerville SemiBold Italic"/>
        </w:rPr>
        <w:t xml:space="preserve">Although the relatively fast-flowing Animas River worked to flush a large portion of the heavy metals released from GKM in a timely manner, EPA’s </w:t>
      </w:r>
      <w:r w:rsidRPr="00C86AF8">
        <w:rPr>
          <w:rFonts w:cs="Tahoma"/>
        </w:rPr>
        <w:t>longer-term concern is the effect on the entire watershed from metals deposited in sediments and their release during high-water events and from recreational use over time.  EPA has indicated these sediments may pose some risk, especially to aqua</w:t>
      </w:r>
      <w:r>
        <w:rPr>
          <w:rFonts w:cs="Tahoma"/>
        </w:rPr>
        <w:t>tic life and fish</w:t>
      </w:r>
      <w:r w:rsidRPr="00C86AF8">
        <w:rPr>
          <w:rFonts w:cs="Tahoma"/>
        </w:rPr>
        <w:t>.</w:t>
      </w:r>
      <w:r w:rsidRPr="00783095">
        <w:rPr>
          <w:rStyle w:val="EndnoteReference"/>
          <w:rFonts w:cs="Tahoma"/>
          <w:sz w:val="20"/>
          <w:szCs w:val="20"/>
        </w:rPr>
        <w:endnoteReference w:id="24"/>
      </w:r>
      <w:r w:rsidRPr="00C86AF8">
        <w:rPr>
          <w:rFonts w:cs="Tahoma"/>
        </w:rPr>
        <w:t xml:space="preserve">  In addition, both CDPHE and EPA recommend that water from wells located in the Animas floodplain be regularly tested for possible contamination, especially along slow-flowing segments of the River</w:t>
      </w:r>
      <w:r w:rsidR="005033C2">
        <w:rPr>
          <w:rFonts w:cs="Tahoma"/>
        </w:rPr>
        <w:t>, just north of Durango</w:t>
      </w:r>
      <w:r w:rsidRPr="00C86AF8">
        <w:rPr>
          <w:rFonts w:cs="Tahoma"/>
        </w:rPr>
        <w:t>.</w:t>
      </w:r>
    </w:p>
    <w:p w14:paraId="1D61A278" w14:textId="67EC0664" w:rsidR="00540F6A" w:rsidRDefault="00540F6A" w:rsidP="00540F6A">
      <w:pPr>
        <w:widowControl w:val="0"/>
        <w:autoSpaceDE w:val="0"/>
        <w:autoSpaceDN w:val="0"/>
        <w:adjustRightInd w:val="0"/>
        <w:spacing w:line="480" w:lineRule="auto"/>
        <w:ind w:firstLine="720"/>
        <w:rPr>
          <w:rFonts w:cs="ProximaNova-Regular"/>
        </w:rPr>
      </w:pPr>
      <w:r>
        <w:rPr>
          <w:rFonts w:cs="ProximaNova-Regular"/>
        </w:rPr>
        <w:t xml:space="preserve">The fact that the GKM spill was followed with such rapid and substantive policy change in the form of NPL Superfund designation – even though numerical indicators of ecological conditions suggested minimal impact – is remarkable.  Moreover, the paucity of significant environmental harm – discussed below in more detail, was surprising to many biologists.  Of equal surprise, was the unprecedented rate at which </w:t>
      </w:r>
      <w:r w:rsidR="005033C2">
        <w:rPr>
          <w:rFonts w:cs="ProximaNova-Regular"/>
        </w:rPr>
        <w:t xml:space="preserve">NPL </w:t>
      </w:r>
      <w:r>
        <w:rPr>
          <w:rFonts w:cs="ProximaNova-Regular"/>
        </w:rPr>
        <w:t xml:space="preserve">Superfund listing followed the spill.  Indeed, longtime scholars of the policy process have made a direct connection between </w:t>
      </w:r>
      <w:r>
        <w:rPr>
          <w:rFonts w:cs="ProximaNova-Regular"/>
        </w:rPr>
        <w:lastRenderedPageBreak/>
        <w:t xml:space="preserve">problem severity and the rate and extent of related policy change (e.g., Kingdon </w:t>
      </w:r>
      <w:r w:rsidR="00F56A9D">
        <w:rPr>
          <w:rFonts w:cs="ProximaNova-Regular"/>
        </w:rPr>
        <w:t>2003</w:t>
      </w:r>
      <w:r>
        <w:rPr>
          <w:rFonts w:cs="ProximaNova-Regular"/>
        </w:rPr>
        <w:t xml:space="preserve">; Baumgartner and Jones 1993; 2002; Birkland 1997; 2007).  As discussed throughout this </w:t>
      </w:r>
      <w:r w:rsidR="00B1634A">
        <w:rPr>
          <w:rFonts w:cs="ProximaNova-Regular"/>
        </w:rPr>
        <w:t>paper</w:t>
      </w:r>
      <w:r>
        <w:rPr>
          <w:rFonts w:cs="ProximaNova-Regular"/>
        </w:rPr>
        <w:t>, the GKM case is unique; Superfund listing was achieved not because of calamitous ecological damage</w:t>
      </w:r>
      <w:r w:rsidR="00B1634A">
        <w:rPr>
          <w:rFonts w:cs="ProximaNova-Regular"/>
        </w:rPr>
        <w:t xml:space="preserve"> and an abundance of numerical indicators</w:t>
      </w:r>
      <w:r>
        <w:rPr>
          <w:rFonts w:cs="ProximaNova-Regular"/>
        </w:rPr>
        <w:t xml:space="preserve">, but rather </w:t>
      </w:r>
      <w:r w:rsidR="00B1634A">
        <w:rPr>
          <w:rFonts w:cs="ProximaNova-Regular"/>
        </w:rPr>
        <w:t>as a result</w:t>
      </w:r>
      <w:r>
        <w:rPr>
          <w:rFonts w:cs="ProximaNova-Regular"/>
        </w:rPr>
        <w:t xml:space="preserve"> of the unprecedented visual impact </w:t>
      </w:r>
      <w:r w:rsidR="00B1634A">
        <w:rPr>
          <w:rFonts w:cs="ProximaNova-Regular"/>
        </w:rPr>
        <w:t xml:space="preserve">and </w:t>
      </w:r>
      <w:r>
        <w:rPr>
          <w:rFonts w:cs="ProximaNova-Regular"/>
        </w:rPr>
        <w:t>emotional response</w:t>
      </w:r>
      <w:r w:rsidR="00B1634A">
        <w:rPr>
          <w:rFonts w:cs="ProximaNova-Regular"/>
        </w:rPr>
        <w:t>s</w:t>
      </w:r>
      <w:r>
        <w:rPr>
          <w:rFonts w:cs="ProximaNova-Regular"/>
        </w:rPr>
        <w:t xml:space="preserve"> caused by the spill</w:t>
      </w:r>
      <w:r w:rsidR="00B1634A">
        <w:rPr>
          <w:rFonts w:cs="ProximaNova-Regular"/>
        </w:rPr>
        <w:t xml:space="preserve"> and broadcast widely via national and international media outlets</w:t>
      </w:r>
      <w:r>
        <w:rPr>
          <w:rFonts w:cs="ProximaNova-Regular"/>
        </w:rPr>
        <w:t>.</w:t>
      </w:r>
    </w:p>
    <w:p w14:paraId="76F59D97" w14:textId="427CC72F" w:rsidR="00540F6A" w:rsidRPr="00077EDF" w:rsidRDefault="00540F6A" w:rsidP="00540F6A">
      <w:pPr>
        <w:widowControl w:val="0"/>
        <w:autoSpaceDE w:val="0"/>
        <w:autoSpaceDN w:val="0"/>
        <w:adjustRightInd w:val="0"/>
        <w:spacing w:line="480" w:lineRule="auto"/>
        <w:ind w:firstLine="720"/>
        <w:rPr>
          <w:rFonts w:cs="Baskerville SemiBold Italic"/>
        </w:rPr>
      </w:pPr>
      <w:r>
        <w:rPr>
          <w:rFonts w:cs="Baskerville SemiBold Italic"/>
        </w:rPr>
        <w:t>Despite the less-than-expected extent of environmental impacts following the spill</w:t>
      </w:r>
      <w:r w:rsidRPr="00C86AF8">
        <w:rPr>
          <w:rFonts w:cs="Baskerville SemiBold Italic"/>
        </w:rPr>
        <w:t>, the legacy of the visual impact propagated by the intense media coverage</w:t>
      </w:r>
      <w:r>
        <w:rPr>
          <w:rFonts w:cs="Baskerville SemiBold Italic"/>
        </w:rPr>
        <w:t xml:space="preserve"> following the event exceeded most expectations.  It </w:t>
      </w:r>
      <w:r w:rsidR="008243B3">
        <w:rPr>
          <w:rFonts w:cs="Baskerville SemiBold Italic"/>
        </w:rPr>
        <w:t>has taken</w:t>
      </w:r>
      <w:r>
        <w:rPr>
          <w:rFonts w:cs="Baskerville SemiBold Italic"/>
        </w:rPr>
        <w:t xml:space="preserve"> longer for the associated emotional impacts to diminish</w:t>
      </w:r>
      <w:r w:rsidR="005033C2">
        <w:rPr>
          <w:rFonts w:cs="Baskerville SemiBold Italic"/>
        </w:rPr>
        <w:t xml:space="preserve">; </w:t>
      </w:r>
      <w:r w:rsidRPr="00C86AF8">
        <w:rPr>
          <w:rFonts w:cs="Baskerville SemiBold Italic"/>
        </w:rPr>
        <w:t xml:space="preserve">indelible images of a grotesquely discolored river remain frightening, and still conjure </w:t>
      </w:r>
      <w:r w:rsidRPr="00077EDF">
        <w:rPr>
          <w:rFonts w:cs="Baskerville SemiBold Italic"/>
        </w:rPr>
        <w:t xml:space="preserve">feelings of anger and disbelief. </w:t>
      </w:r>
    </w:p>
    <w:p w14:paraId="47AB9DD8" w14:textId="7ACDFD44" w:rsidR="00540F6A" w:rsidRDefault="00540F6A" w:rsidP="00540F6A">
      <w:pPr>
        <w:widowControl w:val="0"/>
        <w:autoSpaceDE w:val="0"/>
        <w:autoSpaceDN w:val="0"/>
        <w:adjustRightInd w:val="0"/>
        <w:spacing w:line="480" w:lineRule="auto"/>
        <w:ind w:firstLine="720"/>
        <w:rPr>
          <w:rFonts w:cs="Baskerville SemiBold Italic"/>
        </w:rPr>
      </w:pPr>
      <w:r w:rsidRPr="00077EDF">
        <w:rPr>
          <w:rFonts w:cs="Baskerville SemiBold Italic"/>
        </w:rPr>
        <w:t xml:space="preserve">At face value, the release of 3 million gallons of contaminated AMD into an alpine watershed sounds extreme – and it is when caused by a single event.  Yet each year, abandoned mines in the Silverton-area </w:t>
      </w:r>
      <w:r w:rsidR="005033C2">
        <w:rPr>
          <w:rFonts w:cs="Baskerville SemiBold Italic"/>
        </w:rPr>
        <w:t xml:space="preserve">collectively </w:t>
      </w:r>
      <w:r w:rsidRPr="00077EDF">
        <w:rPr>
          <w:rFonts w:cs="Baskerville SemiBold Italic"/>
        </w:rPr>
        <w:t>discharge an estimated 330+ million gallons of AMD into the Animas River watershed – an amount more than 100 times the volume of the 2015 spill.</w:t>
      </w:r>
      <w:r w:rsidRPr="00783095">
        <w:rPr>
          <w:rStyle w:val="EndnoteReference"/>
          <w:rFonts w:cs="Baskerville SemiBold Italic"/>
          <w:sz w:val="20"/>
          <w:szCs w:val="20"/>
        </w:rPr>
        <w:endnoteReference w:id="25"/>
      </w:r>
      <w:r w:rsidRPr="00077EDF">
        <w:rPr>
          <w:rFonts w:cs="Baskerville SemiBold Italic"/>
        </w:rPr>
        <w:t xml:space="preserve">  </w:t>
      </w:r>
      <w:r>
        <w:rPr>
          <w:rFonts w:cs="Baskerville SemiBold Italic"/>
        </w:rPr>
        <w:t>As incredible and unbelievable as it may sound, t</w:t>
      </w:r>
      <w:r w:rsidRPr="00077EDF">
        <w:rPr>
          <w:rFonts w:cs="Baskerville SemiBold Italic"/>
        </w:rPr>
        <w:t>he Animas River experiences a</w:t>
      </w:r>
      <w:r>
        <w:rPr>
          <w:rFonts w:cs="Baskerville SemiBold Italic"/>
        </w:rPr>
        <w:t>n AMD</w:t>
      </w:r>
      <w:r w:rsidRPr="00077EDF">
        <w:rPr>
          <w:rFonts w:cs="Baskerville SemiBold Italic"/>
        </w:rPr>
        <w:t xml:space="preserve"> release on par with that from the GKM event every three-odd days.  The only difference is that it is less concentrated, and thus does not produce a dramatic discoloration of water.   Visitors who ride the </w:t>
      </w:r>
      <w:r>
        <w:rPr>
          <w:rFonts w:cs="Baskerville SemiBold Italic"/>
        </w:rPr>
        <w:t xml:space="preserve">Durango &amp; Silverton Narrow Gauge Railroad </w:t>
      </w:r>
      <w:r w:rsidRPr="00077EDF">
        <w:rPr>
          <w:rFonts w:cs="Baskerville SemiBold Italic"/>
        </w:rPr>
        <w:t xml:space="preserve">to Silverton </w:t>
      </w:r>
      <w:r>
        <w:rPr>
          <w:rFonts w:cs="Baskerville SemiBold Italic"/>
        </w:rPr>
        <w:t xml:space="preserve">each summer </w:t>
      </w:r>
      <w:r w:rsidRPr="00077EDF">
        <w:rPr>
          <w:rFonts w:cs="Baskerville SemiBold Italic"/>
        </w:rPr>
        <w:t>may notice discolored trails of iron-hydroxide deposits</w:t>
      </w:r>
      <w:r w:rsidR="005033C2">
        <w:rPr>
          <w:rFonts w:cs="Baskerville SemiBold Italic"/>
        </w:rPr>
        <w:t xml:space="preserve"> in the Animas just below Silverton</w:t>
      </w:r>
      <w:r w:rsidRPr="00077EDF">
        <w:rPr>
          <w:rFonts w:cs="Baskerville SemiBold Italic"/>
        </w:rPr>
        <w:t>, known locally and in mining circles as “yellow boy”</w:t>
      </w:r>
      <w:r w:rsidR="005033C2">
        <w:rPr>
          <w:rFonts w:cs="Baskerville SemiBold Italic"/>
        </w:rPr>
        <w:t xml:space="preserve"> </w:t>
      </w:r>
      <w:r w:rsidRPr="00077EDF">
        <w:rPr>
          <w:rFonts w:cs="Baskerville SemiBold Italic"/>
        </w:rPr>
        <w:t>or in Cement Creek as it flows through the Town’s park.  These peculiarities however are isolated, and pale in comparison to an entire</w:t>
      </w:r>
      <w:r>
        <w:rPr>
          <w:rFonts w:cs="Baskerville SemiBold Italic"/>
        </w:rPr>
        <w:t>ly</w:t>
      </w:r>
      <w:r w:rsidRPr="00077EDF">
        <w:rPr>
          <w:rFonts w:cs="Baskerville SemiBold Italic"/>
        </w:rPr>
        <w:t xml:space="preserve"> </w:t>
      </w:r>
      <w:r w:rsidRPr="00077EDF">
        <w:rPr>
          <w:rFonts w:cs="Baskerville SemiBold Italic"/>
        </w:rPr>
        <w:lastRenderedPageBreak/>
        <w:t>discolored, multistate river.</w:t>
      </w:r>
    </w:p>
    <w:p w14:paraId="534CAB5F" w14:textId="375D0916" w:rsidR="000544EF" w:rsidRPr="006E2F8E" w:rsidRDefault="000544EF" w:rsidP="000544EF">
      <w:pPr>
        <w:widowControl w:val="0"/>
        <w:autoSpaceDE w:val="0"/>
        <w:autoSpaceDN w:val="0"/>
        <w:adjustRightInd w:val="0"/>
        <w:spacing w:line="480" w:lineRule="auto"/>
        <w:rPr>
          <w:rFonts w:cs="Baskerville SemiBold Italic"/>
          <w:b/>
          <w:i/>
        </w:rPr>
      </w:pPr>
      <w:r w:rsidRPr="000544EF">
        <w:rPr>
          <w:rFonts w:cs="Baskerville SemiBold Italic"/>
          <w:b/>
          <w:i/>
        </w:rPr>
        <w:t>Mine Spills versus Forest Fires:  A Brief Comparison of the Impacts Following Disaster</w:t>
      </w:r>
    </w:p>
    <w:p w14:paraId="4E4D6FFC" w14:textId="58273CDD" w:rsidR="00F979BE" w:rsidRDefault="000544EF" w:rsidP="000544EF">
      <w:pPr>
        <w:widowControl w:val="0"/>
        <w:autoSpaceDE w:val="0"/>
        <w:autoSpaceDN w:val="0"/>
        <w:adjustRightInd w:val="0"/>
        <w:spacing w:line="480" w:lineRule="auto"/>
        <w:rPr>
          <w:rFonts w:cs="Baskerville SemiBold Italic"/>
        </w:rPr>
      </w:pPr>
      <w:r>
        <w:rPr>
          <w:rFonts w:cs="Baskerville SemiBold Italic"/>
        </w:rPr>
        <w:t xml:space="preserve">Roughly 3-years after the GKM spill, the Animas River basin played host to another catastrophic event – </w:t>
      </w:r>
      <w:r w:rsidR="005033C2">
        <w:rPr>
          <w:rFonts w:cs="Baskerville SemiBold Italic"/>
        </w:rPr>
        <w:t>massive wild fire</w:t>
      </w:r>
      <w:r>
        <w:rPr>
          <w:rFonts w:cs="Baskerville SemiBold Italic"/>
        </w:rPr>
        <w:t xml:space="preserve">.  On June 1, 2018 the 416 Fire started some-10 miles north of Durango; a week later the Burro Fire ignited a short distance to the northwest.  Together, the officially named 416 &amp; Burro Complex fire would burn more than 54,000-acres, making it the </w:t>
      </w:r>
      <w:r w:rsidR="00F979BE">
        <w:rPr>
          <w:rFonts w:cs="Baskerville SemiBold Italic"/>
        </w:rPr>
        <w:t xml:space="preserve">sixth largest and most destructive fire in Colorado history.  </w:t>
      </w:r>
    </w:p>
    <w:p w14:paraId="10EE742F" w14:textId="1132F8B3" w:rsidR="007340F5" w:rsidRPr="007340F5" w:rsidRDefault="007340F5" w:rsidP="000544EF">
      <w:pPr>
        <w:widowControl w:val="0"/>
        <w:autoSpaceDE w:val="0"/>
        <w:autoSpaceDN w:val="0"/>
        <w:adjustRightInd w:val="0"/>
        <w:spacing w:line="480" w:lineRule="auto"/>
        <w:rPr>
          <w:rFonts w:cs="Baskerville SemiBold Italic"/>
          <w:i/>
        </w:rPr>
      </w:pPr>
      <w:r>
        <w:rPr>
          <w:rFonts w:cs="Baskerville SemiBold Italic"/>
          <w:i/>
        </w:rPr>
        <w:t>Economic Losses</w:t>
      </w:r>
    </w:p>
    <w:p w14:paraId="0C98F107" w14:textId="77777777" w:rsidR="005033C2" w:rsidRDefault="00F979BE" w:rsidP="007340F5">
      <w:pPr>
        <w:widowControl w:val="0"/>
        <w:autoSpaceDE w:val="0"/>
        <w:autoSpaceDN w:val="0"/>
        <w:adjustRightInd w:val="0"/>
        <w:spacing w:line="480" w:lineRule="auto"/>
        <w:rPr>
          <w:rFonts w:cs="Baskerville SemiBold Italic"/>
        </w:rPr>
      </w:pPr>
      <w:r>
        <w:rPr>
          <w:rFonts w:cs="Baskerville SemiBold Italic"/>
        </w:rPr>
        <w:t>The fire prompted the first-ever official closing of the nearly</w:t>
      </w:r>
      <w:r w:rsidR="005033C2">
        <w:rPr>
          <w:rFonts w:cs="Baskerville SemiBold Italic"/>
        </w:rPr>
        <w:t xml:space="preserve"> </w:t>
      </w:r>
      <w:r>
        <w:rPr>
          <w:rFonts w:cs="Baskerville SemiBold Italic"/>
        </w:rPr>
        <w:t xml:space="preserve">1.9 million acre San Juan National Forest, which included an extended suspension of operations of both the Purgatory Ski Resort and the Durango &amp; Silverton Narrow Gauge Railroad, which carries up to 193,000 tourists per day during the summer months and injects $190 - $200 million annually into the </w:t>
      </w:r>
      <w:r w:rsidR="005033C2">
        <w:rPr>
          <w:rFonts w:cs="Baskerville SemiBold Italic"/>
        </w:rPr>
        <w:t xml:space="preserve">two </w:t>
      </w:r>
      <w:r>
        <w:rPr>
          <w:rFonts w:cs="Baskerville SemiBold Italic"/>
        </w:rPr>
        <w:t xml:space="preserve">tourist towns </w:t>
      </w:r>
      <w:r w:rsidR="006E2F8E">
        <w:rPr>
          <w:rFonts w:cs="Baskerville SemiBold Italic"/>
        </w:rPr>
        <w:t>(Best 2018)</w:t>
      </w:r>
      <w:r>
        <w:rPr>
          <w:rFonts w:cs="Baskerville SemiBold Italic"/>
        </w:rPr>
        <w:t xml:space="preserve">. </w:t>
      </w:r>
      <w:r w:rsidR="007340F5">
        <w:rPr>
          <w:rFonts w:cs="Baskerville SemiBold Italic"/>
        </w:rPr>
        <w:t xml:space="preserve">  </w:t>
      </w:r>
    </w:p>
    <w:p w14:paraId="265BCE58" w14:textId="32478869" w:rsidR="007340F5" w:rsidRDefault="007340F5" w:rsidP="005033C2">
      <w:pPr>
        <w:widowControl w:val="0"/>
        <w:autoSpaceDE w:val="0"/>
        <w:autoSpaceDN w:val="0"/>
        <w:adjustRightInd w:val="0"/>
        <w:spacing w:line="480" w:lineRule="auto"/>
        <w:ind w:firstLine="720"/>
        <w:rPr>
          <w:rFonts w:cs="Baskerville SemiBold Italic"/>
        </w:rPr>
      </w:pPr>
      <w:r>
        <w:rPr>
          <w:rFonts w:cs="Baskerville SemiBold Italic"/>
        </w:rPr>
        <w:t>In contrast, the economies of Durango and La Plata and San Juan Counties showed minor and only temporary negative impacts</w:t>
      </w:r>
      <w:r w:rsidR="005033C2">
        <w:rPr>
          <w:rFonts w:cs="Baskerville SemiBold Italic"/>
        </w:rPr>
        <w:t xml:space="preserve"> following the GKM spill</w:t>
      </w:r>
      <w:r>
        <w:rPr>
          <w:rFonts w:cs="Baskerville SemiBold Italic"/>
        </w:rPr>
        <w:t xml:space="preserve">.  Despite a reliance of up to 20% on tourism, many economic sectors across the area, including lodging, retail, and food and beverage, actually posted higher than average sales for August 2015.  And in Durango proper, sales tax revenues for August 2015 were up 2.5%.  </w:t>
      </w:r>
    </w:p>
    <w:p w14:paraId="072C1773" w14:textId="77777777" w:rsidR="007340F5" w:rsidRDefault="007340F5" w:rsidP="007340F5">
      <w:pPr>
        <w:widowControl w:val="0"/>
        <w:autoSpaceDE w:val="0"/>
        <w:autoSpaceDN w:val="0"/>
        <w:adjustRightInd w:val="0"/>
        <w:spacing w:line="480" w:lineRule="auto"/>
        <w:rPr>
          <w:rFonts w:cs="Baskerville SemiBold Italic"/>
          <w:i/>
        </w:rPr>
      </w:pPr>
      <w:r>
        <w:rPr>
          <w:rFonts w:cs="Baskerville SemiBold Italic"/>
          <w:i/>
        </w:rPr>
        <w:t>Environmental Impacts</w:t>
      </w:r>
    </w:p>
    <w:p w14:paraId="00BEF145" w14:textId="20E4DF16" w:rsidR="00BD5944" w:rsidRDefault="00F979BE" w:rsidP="005033C2">
      <w:pPr>
        <w:widowControl w:val="0"/>
        <w:autoSpaceDE w:val="0"/>
        <w:autoSpaceDN w:val="0"/>
        <w:adjustRightInd w:val="0"/>
        <w:spacing w:line="480" w:lineRule="auto"/>
        <w:ind w:firstLine="720"/>
        <w:rPr>
          <w:rFonts w:cs="Baskerville SemiBold Italic"/>
        </w:rPr>
      </w:pPr>
      <w:r>
        <w:rPr>
          <w:rFonts w:cs="Baskerville SemiBold Italic"/>
        </w:rPr>
        <w:t xml:space="preserve">The fire’s ecological footprint was similarly enormous, with long-time impacts </w:t>
      </w:r>
      <w:r w:rsidR="007340F5">
        <w:rPr>
          <w:rFonts w:cs="Baskerville SemiBold Italic"/>
        </w:rPr>
        <w:t>far</w:t>
      </w:r>
      <w:r>
        <w:rPr>
          <w:rFonts w:cs="Baskerville SemiBold Italic"/>
        </w:rPr>
        <w:t xml:space="preserve"> in excess of those following the 2015 GKM spill. </w:t>
      </w:r>
      <w:r w:rsidR="007340F5">
        <w:rPr>
          <w:rFonts w:cs="Baskerville SemiBold Italic"/>
        </w:rPr>
        <w:t xml:space="preserve">In particular, flash floods and debris flows from the 416 burn scar led to massive fish kills in the Animas River and its tributary, Hermosa Creek.  </w:t>
      </w:r>
      <w:r w:rsidR="00BD5944">
        <w:rPr>
          <w:rFonts w:cs="Baskerville SemiBold Italic"/>
        </w:rPr>
        <w:lastRenderedPageBreak/>
        <w:t xml:space="preserve">These were attributed primarily to suffocation that resulted from high ash concentrations </w:t>
      </w:r>
      <w:r w:rsidR="005033C2">
        <w:rPr>
          <w:rFonts w:cs="Baskerville SemiBold Italic"/>
        </w:rPr>
        <w:t xml:space="preserve">and low dissolved oxygen levels </w:t>
      </w:r>
      <w:r w:rsidR="00BD5944">
        <w:rPr>
          <w:rFonts w:cs="Baskerville SemiBold Italic"/>
        </w:rPr>
        <w:t>in the water</w:t>
      </w:r>
      <w:r w:rsidR="005033C2">
        <w:rPr>
          <w:rFonts w:cs="Baskerville SemiBold Italic"/>
        </w:rPr>
        <w:t>ways</w:t>
      </w:r>
      <w:r w:rsidR="00BD5944">
        <w:rPr>
          <w:rFonts w:cs="Baskerville SemiBold Italic"/>
        </w:rPr>
        <w:t xml:space="preserve">.  </w:t>
      </w:r>
      <w:r w:rsidR="007340F5">
        <w:rPr>
          <w:rFonts w:cs="Baskerville SemiBold Italic"/>
        </w:rPr>
        <w:t xml:space="preserve">Fish surveys by </w:t>
      </w:r>
      <w:r w:rsidR="005033C2">
        <w:rPr>
          <w:rFonts w:cs="Baskerville SemiBold Italic"/>
        </w:rPr>
        <w:t xml:space="preserve">CDPW </w:t>
      </w:r>
      <w:r w:rsidR="007340F5">
        <w:rPr>
          <w:rFonts w:cs="Baskerville SemiBold Italic"/>
        </w:rPr>
        <w:t xml:space="preserve">found </w:t>
      </w:r>
      <w:r w:rsidR="005033C2">
        <w:rPr>
          <w:rFonts w:cs="Baskerville SemiBold Italic"/>
        </w:rPr>
        <w:t>fish populations (both brown and rainbow trout) in multiple river and creek segments that were more than 10-times below historic levels.</w:t>
      </w:r>
    </w:p>
    <w:p w14:paraId="04F99F79" w14:textId="2F47E727" w:rsidR="000544EF" w:rsidRPr="002423F3" w:rsidRDefault="00BD5944" w:rsidP="005033C2">
      <w:pPr>
        <w:widowControl w:val="0"/>
        <w:autoSpaceDE w:val="0"/>
        <w:autoSpaceDN w:val="0"/>
        <w:adjustRightInd w:val="0"/>
        <w:spacing w:line="480" w:lineRule="auto"/>
        <w:ind w:firstLine="720"/>
        <w:rPr>
          <w:rFonts w:cs="Baskerville SemiBold Italic"/>
        </w:rPr>
      </w:pPr>
      <w:r>
        <w:rPr>
          <w:rFonts w:cs="Baskerville SemiBold Italic"/>
        </w:rPr>
        <w:t>Concentrations of heavy metals were also much higher following the 2018 fires than those detected during the flow of GKM’s toxic plume through Durango.  While no evidence of any die-offs of aquatic life were linked to the GKM</w:t>
      </w:r>
      <w:r w:rsidR="005033C2">
        <w:rPr>
          <w:rFonts w:cs="Baskerville SemiBold Italic"/>
        </w:rPr>
        <w:t>’s</w:t>
      </w:r>
      <w:r>
        <w:rPr>
          <w:rFonts w:cs="Baskerville SemiBold Italic"/>
        </w:rPr>
        <w:t xml:space="preserve"> AMD, heavy metal concentrations caused a near-total fish kill in the Animas</w:t>
      </w:r>
      <w:r w:rsidR="005033C2">
        <w:rPr>
          <w:rFonts w:cs="Baskerville SemiBold Italic"/>
        </w:rPr>
        <w:t xml:space="preserve"> after the 2018 fire season</w:t>
      </w:r>
      <w:r>
        <w:rPr>
          <w:rFonts w:cs="Baskerville SemiBold Italic"/>
        </w:rPr>
        <w:t xml:space="preserve">.  Specifically, concentrations of aluminum were measured at 50-times higher than those associated with GKM’s plume; iron levels were six-times higher, manganese was 20-times higher, levels of mercury were three-times higher than those registered at the peak of </w:t>
      </w:r>
      <w:r w:rsidR="002423F3">
        <w:rPr>
          <w:rFonts w:cs="Baskerville SemiBold Italic"/>
        </w:rPr>
        <w:t>the GKM event</w:t>
      </w:r>
      <w:r w:rsidR="006E2F8E">
        <w:rPr>
          <w:rFonts w:cs="Baskerville SemiBold Italic"/>
        </w:rPr>
        <w:t xml:space="preserve"> (Romero 2018).</w:t>
      </w:r>
      <w:r w:rsidR="002423F3">
        <w:rPr>
          <w:rFonts w:cs="Baskerville SemiBold Italic"/>
        </w:rPr>
        <w:t xml:space="preserve">  Granted the fires of 2018 were slow-moving disasters lasting more than two months, and the GKM plume discolored the Animas for roughly a week, the degree, magnitude, and duration of media coverage regarding the former far exceeded that of the latter.</w:t>
      </w:r>
      <w:r w:rsidR="002423F3">
        <w:rPr>
          <w:rFonts w:cs="Baskerville SemiBold Italic"/>
          <w:i/>
        </w:rPr>
        <w:t xml:space="preserve">  </w:t>
      </w:r>
      <w:r w:rsidR="002423F3">
        <w:rPr>
          <w:rFonts w:cs="Baskerville SemiBold Italic"/>
        </w:rPr>
        <w:t>Yet the political attention and policy change directly following the GKM spill were much more intense and substantive than those resulting from the 416 &amp; Burro Fire complex.</w:t>
      </w:r>
    </w:p>
    <w:p w14:paraId="4CC71D9E" w14:textId="7B8C34DA" w:rsidR="008524A7" w:rsidRPr="001600C7" w:rsidRDefault="008524A7" w:rsidP="00606F5E">
      <w:pPr>
        <w:pStyle w:val="ListParagraph"/>
        <w:widowControl w:val="0"/>
        <w:numPr>
          <w:ilvl w:val="0"/>
          <w:numId w:val="3"/>
        </w:numPr>
        <w:autoSpaceDE w:val="0"/>
        <w:autoSpaceDN w:val="0"/>
        <w:adjustRightInd w:val="0"/>
        <w:spacing w:line="480" w:lineRule="auto"/>
        <w:rPr>
          <w:rFonts w:cs="Baskerville SemiBold Italic"/>
          <w:b/>
        </w:rPr>
      </w:pPr>
      <w:r w:rsidRPr="001600C7">
        <w:rPr>
          <w:rFonts w:cs="Baskerville SemiBold Italic"/>
          <w:b/>
        </w:rPr>
        <w:t xml:space="preserve">Divergent Perspectives on AMD Remediation:  </w:t>
      </w:r>
      <w:r w:rsidR="00F17CC9">
        <w:rPr>
          <w:rFonts w:cs="Baskerville SemiBold Italic"/>
          <w:b/>
        </w:rPr>
        <w:t xml:space="preserve">Mobilization of </w:t>
      </w:r>
      <w:r w:rsidRPr="001600C7">
        <w:rPr>
          <w:rFonts w:cs="Baskerville SemiBold Italic"/>
          <w:b/>
        </w:rPr>
        <w:t>Coalitions?</w:t>
      </w:r>
    </w:p>
    <w:p w14:paraId="3F881429" w14:textId="03AFC417" w:rsidR="008524A7" w:rsidRDefault="008524A7" w:rsidP="008524A7">
      <w:pPr>
        <w:spacing w:line="480" w:lineRule="auto"/>
      </w:pPr>
      <w:r>
        <w:rPr>
          <w:rFonts w:cs="Baskerville SemiBold Italic"/>
        </w:rPr>
        <w:t xml:space="preserve">A primary assumption going into this research </w:t>
      </w:r>
      <w:r w:rsidR="005033C2">
        <w:rPr>
          <w:rFonts w:cs="Baskerville SemiBold Italic"/>
        </w:rPr>
        <w:t>wa</w:t>
      </w:r>
      <w:r>
        <w:rPr>
          <w:rFonts w:cs="Baskerville SemiBold Italic"/>
        </w:rPr>
        <w:t>s that there would hav</w:t>
      </w:r>
      <w:r w:rsidR="005033C2">
        <w:rPr>
          <w:rFonts w:cs="Baskerville SemiBold Italic"/>
        </w:rPr>
        <w:t xml:space="preserve"> been</w:t>
      </w:r>
      <w:r>
        <w:rPr>
          <w:rFonts w:cs="Baskerville SemiBold Italic"/>
        </w:rPr>
        <w:t xml:space="preserve"> identifiable, competing coalitions of actors </w:t>
      </w:r>
      <w:r>
        <w:rPr>
          <w:rFonts w:cs="Baskerville SemiBold Italic"/>
          <w:i/>
        </w:rPr>
        <w:t xml:space="preserve">prior to the </w:t>
      </w:r>
      <w:r w:rsidRPr="00E37330">
        <w:rPr>
          <w:rFonts w:cs="Baskerville SemiBold Italic"/>
        </w:rPr>
        <w:t>spill</w:t>
      </w:r>
      <w:r>
        <w:rPr>
          <w:rFonts w:cs="Baskerville SemiBold Italic"/>
        </w:rPr>
        <w:t xml:space="preserve"> </w:t>
      </w:r>
      <w:r w:rsidRPr="00E37330">
        <w:rPr>
          <w:rFonts w:cs="Baskerville SemiBold Italic"/>
        </w:rPr>
        <w:t>in</w:t>
      </w:r>
      <w:r>
        <w:rPr>
          <w:rFonts w:cs="Baskerville SemiBold Italic"/>
        </w:rPr>
        <w:t xml:space="preserve"> the Animas basin behind </w:t>
      </w:r>
      <w:r w:rsidR="005033C2">
        <w:rPr>
          <w:rFonts w:cs="Baskerville SemiBold Italic"/>
        </w:rPr>
        <w:t xml:space="preserve">the </w:t>
      </w:r>
      <w:r>
        <w:rPr>
          <w:rFonts w:cs="Baskerville SemiBold Italic"/>
        </w:rPr>
        <w:t>two primary perspectives or policy preferences regarding the problem of AMD</w:t>
      </w:r>
      <w:r w:rsidR="005033C2">
        <w:rPr>
          <w:rFonts w:cs="Baskerville SemiBold Italic"/>
        </w:rPr>
        <w:t xml:space="preserve"> – locally-driven cleanup versus federally-led, comprehensive restoration</w:t>
      </w:r>
      <w:r>
        <w:rPr>
          <w:rFonts w:cs="Baskerville SemiBold Italic"/>
        </w:rPr>
        <w:t xml:space="preserve">.  It was also expected that each perspective would </w:t>
      </w:r>
      <w:r w:rsidR="007B44A3">
        <w:rPr>
          <w:rFonts w:cs="Baskerville SemiBold Italic"/>
        </w:rPr>
        <w:t xml:space="preserve">have been </w:t>
      </w:r>
      <w:r>
        <w:rPr>
          <w:rFonts w:cs="Baskerville SemiBold Italic"/>
        </w:rPr>
        <w:t xml:space="preserve">grounded in or linked to a specific portion of the river system – the Upper </w:t>
      </w:r>
      <w:r>
        <w:rPr>
          <w:rFonts w:cs="Baskerville SemiBold Italic"/>
        </w:rPr>
        <w:lastRenderedPageBreak/>
        <w:t>versus the Lower Animas watershed.</w:t>
      </w:r>
      <w:r w:rsidRPr="00783095">
        <w:rPr>
          <w:rStyle w:val="EndnoteReference"/>
          <w:rFonts w:cs="Baskerville SemiBold Italic"/>
          <w:sz w:val="20"/>
          <w:szCs w:val="20"/>
        </w:rPr>
        <w:endnoteReference w:id="26"/>
      </w:r>
      <w:r>
        <w:rPr>
          <w:rFonts w:cs="Baskerville SemiBold Italic"/>
        </w:rPr>
        <w:t xml:space="preserve">  </w:t>
      </w:r>
      <w:r w:rsidR="007B44A3">
        <w:t>E</w:t>
      </w:r>
      <w:r>
        <w:t xml:space="preserve">lements of the Advocacy Coalition Framework (ACF) </w:t>
      </w:r>
      <w:r w:rsidR="007B44A3">
        <w:t>were</w:t>
      </w:r>
      <w:r>
        <w:t xml:space="preserve"> utilized to </w:t>
      </w:r>
      <w:r w:rsidR="007B44A3">
        <w:t>assess the relative presence of t</w:t>
      </w:r>
      <w:r>
        <w:t xml:space="preserve">hese two competing groups </w:t>
      </w:r>
      <w:r w:rsidRPr="00657131">
        <w:t>(i.e., coalitions)</w:t>
      </w:r>
      <w:r>
        <w:t>,</w:t>
      </w:r>
      <w:r w:rsidRPr="00657131">
        <w:t xml:space="preserve"> b</w:t>
      </w:r>
      <w:r>
        <w:t>oth prior to and</w:t>
      </w:r>
      <w:r w:rsidRPr="00657131">
        <w:t xml:space="preserve"> following the GKM spill.</w:t>
      </w:r>
      <w:r w:rsidR="009C23E3">
        <w:t xml:space="preserve">  Preliminary findings suggest mixed support for these expect</w:t>
      </w:r>
      <w:r w:rsidR="00F17CC9">
        <w:t>at</w:t>
      </w:r>
      <w:r w:rsidR="009C23E3">
        <w:t>ions.</w:t>
      </w:r>
      <w:r w:rsidRPr="00657131">
        <w:t xml:space="preserve"> </w:t>
      </w:r>
    </w:p>
    <w:p w14:paraId="7DCCE729" w14:textId="0C093B36" w:rsidR="001600C7" w:rsidRDefault="001600C7" w:rsidP="001600C7">
      <w:pPr>
        <w:spacing w:line="480" w:lineRule="auto"/>
        <w:ind w:firstLine="720"/>
      </w:pPr>
      <w:r>
        <w:rPr>
          <w:rFonts w:cs="Baskerville SemiBold Italic"/>
        </w:rPr>
        <w:t xml:space="preserve">In the Upper watershed, a desire to </w:t>
      </w:r>
      <w:r>
        <w:t xml:space="preserve">avoid Superfund designation, coupled with </w:t>
      </w:r>
      <w:r w:rsidRPr="00657131">
        <w:t>o</w:t>
      </w:r>
      <w:r>
        <w:t xml:space="preserve">pposition to </w:t>
      </w:r>
      <w:r w:rsidRPr="00657131">
        <w:t>the strong presence of the federal government</w:t>
      </w:r>
      <w:r>
        <w:t xml:space="preserve"> that would follow, has for decades been </w:t>
      </w:r>
      <w:r w:rsidR="009C23E3">
        <w:t xml:space="preserve">the </w:t>
      </w:r>
      <w:r>
        <w:t xml:space="preserve">overriding normative perspective .  </w:t>
      </w:r>
      <w:r w:rsidR="007B44A3">
        <w:t xml:space="preserve">Persistent NIMBY-ism, fears of a negative stigma, and decreased tourism and property values have helped sustain this view.  </w:t>
      </w:r>
      <w:r>
        <w:t>Indeed, t</w:t>
      </w:r>
      <w:r w:rsidRPr="00657131">
        <w:t>his has been particularly evident among Silverton residents, who have expressed a preference for local- and state-led restoration</w:t>
      </w:r>
      <w:r>
        <w:t xml:space="preserve"> – especially in the pre-spill context</w:t>
      </w:r>
      <w:r w:rsidRPr="00657131">
        <w:t>.  A primary outlet for this position has been the Animas River Stakeholders Group (A</w:t>
      </w:r>
      <w:r>
        <w:t>RS</w:t>
      </w:r>
      <w:r w:rsidRPr="00657131">
        <w:t xml:space="preserve">G), a regional watershed-based group formed in 1994 to </w:t>
      </w:r>
      <w:r>
        <w:t>resist Superfund listing</w:t>
      </w:r>
      <w:r w:rsidR="007B44A3">
        <w:t>,</w:t>
      </w:r>
      <w:r>
        <w:t xml:space="preserve"> while </w:t>
      </w:r>
      <w:r w:rsidRPr="00657131">
        <w:t>improv</w:t>
      </w:r>
      <w:r>
        <w:t>ing</w:t>
      </w:r>
      <w:r w:rsidRPr="00657131">
        <w:t xml:space="preserve"> water quality and aquatic habitats through locally-driven, </w:t>
      </w:r>
      <w:r>
        <w:t xml:space="preserve">site-specific, and </w:t>
      </w:r>
      <w:r w:rsidRPr="00657131">
        <w:t>collaborative processes.</w:t>
      </w:r>
      <w:r w:rsidRPr="00783095">
        <w:rPr>
          <w:rStyle w:val="EndnoteReference"/>
          <w:sz w:val="20"/>
          <w:szCs w:val="20"/>
        </w:rPr>
        <w:endnoteReference w:id="27"/>
      </w:r>
    </w:p>
    <w:p w14:paraId="38CD089B" w14:textId="08E2B40A" w:rsidR="001600C7" w:rsidRPr="009C23E3" w:rsidRDefault="001600C7" w:rsidP="001600C7">
      <w:pPr>
        <w:pStyle w:val="NormalWeb"/>
        <w:spacing w:line="480" w:lineRule="auto"/>
        <w:rPr>
          <w:rFonts w:asciiTheme="minorHAnsi" w:hAnsiTheme="minorHAnsi" w:cs="Arial"/>
          <w:sz w:val="24"/>
          <w:szCs w:val="24"/>
        </w:rPr>
      </w:pPr>
      <w:r>
        <w:tab/>
      </w:r>
      <w:r>
        <w:rPr>
          <w:rFonts w:asciiTheme="minorHAnsi" w:hAnsiTheme="minorHAnsi" w:cstheme="minorHAnsi"/>
          <w:sz w:val="24"/>
          <w:szCs w:val="24"/>
        </w:rPr>
        <w:t>A concomitant effort long-endorsed by ARSG has been to amend the 1972 CW</w:t>
      </w:r>
      <w:r w:rsidR="007B44A3">
        <w:rPr>
          <w:rFonts w:asciiTheme="minorHAnsi" w:hAnsiTheme="minorHAnsi" w:cstheme="minorHAnsi"/>
          <w:sz w:val="24"/>
          <w:szCs w:val="24"/>
        </w:rPr>
        <w:t>A.  Specific attention has been on changing</w:t>
      </w:r>
      <w:r>
        <w:rPr>
          <w:rFonts w:asciiTheme="minorHAnsi" w:hAnsiTheme="minorHAnsi" w:cstheme="minorHAnsi"/>
          <w:sz w:val="24"/>
          <w:szCs w:val="24"/>
        </w:rPr>
        <w:t xml:space="preserve"> the National Pollution Discharge Elimination System (NPDES) permi</w:t>
      </w:r>
      <w:r w:rsidR="007B44A3">
        <w:rPr>
          <w:rFonts w:asciiTheme="minorHAnsi" w:hAnsiTheme="minorHAnsi" w:cstheme="minorHAnsi"/>
          <w:sz w:val="24"/>
          <w:szCs w:val="24"/>
        </w:rPr>
        <w:t>tting process</w:t>
      </w:r>
      <w:r>
        <w:rPr>
          <w:rFonts w:asciiTheme="minorHAnsi" w:hAnsiTheme="minorHAnsi" w:cstheme="minorHAnsi"/>
          <w:sz w:val="24"/>
          <w:szCs w:val="24"/>
        </w:rPr>
        <w:t>,</w:t>
      </w:r>
      <w:r w:rsidR="007B44A3">
        <w:rPr>
          <w:rFonts w:asciiTheme="minorHAnsi" w:hAnsiTheme="minorHAnsi" w:cstheme="minorHAnsi"/>
          <w:sz w:val="24"/>
          <w:szCs w:val="24"/>
        </w:rPr>
        <w:t xml:space="preserve"> as a way to foster cleanup while</w:t>
      </w:r>
      <w:r>
        <w:rPr>
          <w:rFonts w:asciiTheme="minorHAnsi" w:hAnsiTheme="minorHAnsi" w:cstheme="minorHAnsi"/>
          <w:sz w:val="24"/>
          <w:szCs w:val="24"/>
        </w:rPr>
        <w:t xml:space="preserve"> reliev</w:t>
      </w:r>
      <w:r w:rsidR="007B44A3">
        <w:rPr>
          <w:rFonts w:asciiTheme="minorHAnsi" w:hAnsiTheme="minorHAnsi" w:cstheme="minorHAnsi"/>
          <w:sz w:val="24"/>
          <w:szCs w:val="24"/>
        </w:rPr>
        <w:t>ing</w:t>
      </w:r>
      <w:r>
        <w:rPr>
          <w:rFonts w:asciiTheme="minorHAnsi" w:hAnsiTheme="minorHAnsi" w:cstheme="minorHAnsi"/>
          <w:sz w:val="24"/>
          <w:szCs w:val="24"/>
        </w:rPr>
        <w:t xml:space="preserve"> liabilities for so-called Good Samaritan groups (such as ARSG).  </w:t>
      </w:r>
      <w:r>
        <w:rPr>
          <w:rFonts w:asciiTheme="minorHAnsi" w:hAnsiTheme="minorHAnsi" w:cs="Arial"/>
          <w:sz w:val="24"/>
          <w:szCs w:val="24"/>
        </w:rPr>
        <w:t>T</w:t>
      </w:r>
      <w:r w:rsidRPr="00077EDF">
        <w:rPr>
          <w:rFonts w:asciiTheme="minorHAnsi" w:hAnsiTheme="minorHAnsi" w:cs="Arial"/>
          <w:sz w:val="24"/>
          <w:szCs w:val="24"/>
        </w:rPr>
        <w:t xml:space="preserve">he CWA prohibits “the discharge of any pollutant by any person” without a permit into “navigable waters from any </w:t>
      </w:r>
      <w:r>
        <w:rPr>
          <w:rFonts w:asciiTheme="minorHAnsi" w:hAnsiTheme="minorHAnsi" w:cs="Arial"/>
          <w:sz w:val="24"/>
          <w:szCs w:val="24"/>
        </w:rPr>
        <w:t>point source” (Limerick, et al.</w:t>
      </w:r>
      <w:r w:rsidRPr="00077EDF">
        <w:rPr>
          <w:rFonts w:asciiTheme="minorHAnsi" w:hAnsiTheme="minorHAnsi" w:cs="Arial"/>
          <w:sz w:val="24"/>
          <w:szCs w:val="24"/>
        </w:rPr>
        <w:t xml:space="preserve"> 2005</w:t>
      </w:r>
      <w:r>
        <w:rPr>
          <w:rFonts w:asciiTheme="minorHAnsi" w:hAnsiTheme="minorHAnsi" w:cs="Arial"/>
          <w:sz w:val="24"/>
          <w:szCs w:val="24"/>
        </w:rPr>
        <w:t>, 20</w:t>
      </w:r>
      <w:r w:rsidRPr="00077EDF">
        <w:rPr>
          <w:rFonts w:asciiTheme="minorHAnsi" w:hAnsiTheme="minorHAnsi" w:cs="Arial"/>
          <w:sz w:val="24"/>
          <w:szCs w:val="24"/>
        </w:rPr>
        <w:t xml:space="preserve">).  Permits are available for legal, albeit regulated, discharge under the NPDES.  Since horizontal mine </w:t>
      </w:r>
      <w:r>
        <w:rPr>
          <w:rFonts w:asciiTheme="minorHAnsi" w:hAnsiTheme="minorHAnsi" w:cs="Arial"/>
          <w:sz w:val="24"/>
          <w:szCs w:val="24"/>
        </w:rPr>
        <w:t>openings</w:t>
      </w:r>
      <w:r w:rsidRPr="00077EDF">
        <w:rPr>
          <w:rFonts w:asciiTheme="minorHAnsi" w:hAnsiTheme="minorHAnsi" w:cs="Arial"/>
          <w:sz w:val="24"/>
          <w:szCs w:val="24"/>
        </w:rPr>
        <w:t xml:space="preserve"> are considered point sources of pollution, any party interested in remediation efforts must obtain an NPDES permit; these require that any treatment mechanism installed at a mine will yield results that meet stringent CWA quality standards.  Further, the </w:t>
      </w:r>
      <w:r w:rsidRPr="00077EDF">
        <w:rPr>
          <w:rFonts w:asciiTheme="minorHAnsi" w:hAnsiTheme="minorHAnsi" w:cs="Arial"/>
          <w:sz w:val="24"/>
          <w:szCs w:val="24"/>
        </w:rPr>
        <w:lastRenderedPageBreak/>
        <w:t xml:space="preserve">party undertaking such efforts shall remain </w:t>
      </w:r>
      <w:r w:rsidRPr="001600C7">
        <w:rPr>
          <w:rFonts w:asciiTheme="minorHAnsi" w:hAnsiTheme="minorHAnsi" w:cstheme="minorHAnsi"/>
          <w:sz w:val="24"/>
          <w:szCs w:val="24"/>
        </w:rPr>
        <w:t xml:space="preserve">legally responsible for the point source of pollution </w:t>
      </w:r>
      <w:r w:rsidRPr="001600C7">
        <w:rPr>
          <w:rFonts w:asciiTheme="minorHAnsi" w:hAnsiTheme="minorHAnsi" w:cstheme="minorHAnsi"/>
          <w:i/>
          <w:sz w:val="24"/>
          <w:szCs w:val="24"/>
        </w:rPr>
        <w:t>in perpetuity.</w:t>
      </w:r>
      <w:r w:rsidRPr="001600C7">
        <w:rPr>
          <w:rFonts w:asciiTheme="minorHAnsi" w:hAnsiTheme="minorHAnsi" w:cstheme="minorHAnsi"/>
          <w:sz w:val="24"/>
          <w:szCs w:val="24"/>
        </w:rPr>
        <w:t xml:space="preserve">  Point source classification of thus remains the primary impediment for Good Samaritan groups like </w:t>
      </w:r>
      <w:r>
        <w:rPr>
          <w:rFonts w:asciiTheme="minorHAnsi" w:hAnsiTheme="minorHAnsi" w:cstheme="minorHAnsi"/>
          <w:sz w:val="24"/>
          <w:szCs w:val="24"/>
        </w:rPr>
        <w:t>(</w:t>
      </w:r>
      <w:r w:rsidRPr="001600C7">
        <w:rPr>
          <w:rFonts w:asciiTheme="minorHAnsi" w:hAnsiTheme="minorHAnsi" w:cstheme="minorHAnsi"/>
          <w:sz w:val="24"/>
          <w:szCs w:val="24"/>
        </w:rPr>
        <w:t xml:space="preserve">ARSG) from taking a </w:t>
      </w:r>
      <w:r w:rsidRPr="009C23E3">
        <w:rPr>
          <w:rFonts w:asciiTheme="minorHAnsi" w:hAnsiTheme="minorHAnsi" w:cstheme="minorHAnsi"/>
          <w:sz w:val="24"/>
          <w:szCs w:val="24"/>
        </w:rPr>
        <w:t xml:space="preserve">more </w:t>
      </w:r>
      <w:r w:rsidR="007B44A3">
        <w:rPr>
          <w:rFonts w:asciiTheme="minorHAnsi" w:hAnsiTheme="minorHAnsi" w:cstheme="minorHAnsi"/>
          <w:sz w:val="24"/>
          <w:szCs w:val="24"/>
        </w:rPr>
        <w:t xml:space="preserve">direct and active </w:t>
      </w:r>
      <w:r w:rsidRPr="009C23E3">
        <w:rPr>
          <w:rFonts w:asciiTheme="minorHAnsi" w:hAnsiTheme="minorHAnsi" w:cstheme="minorHAnsi"/>
          <w:sz w:val="24"/>
          <w:szCs w:val="24"/>
        </w:rPr>
        <w:t>approach to  AMD remediation.</w:t>
      </w:r>
      <w:r w:rsidRPr="00983FE0">
        <w:rPr>
          <w:rStyle w:val="EndnoteReference"/>
          <w:rFonts w:asciiTheme="minorHAnsi" w:hAnsiTheme="minorHAnsi" w:cstheme="minorHAnsi"/>
        </w:rPr>
        <w:endnoteReference w:id="28"/>
      </w:r>
    </w:p>
    <w:p w14:paraId="3FE1284F" w14:textId="09A99623" w:rsidR="001600C7" w:rsidRDefault="001600C7" w:rsidP="001600C7">
      <w:pPr>
        <w:spacing w:line="480" w:lineRule="auto"/>
        <w:ind w:firstLine="720"/>
      </w:pPr>
      <w:r w:rsidRPr="009C23E3">
        <w:t xml:space="preserve">In the Lower watershed there has been </w:t>
      </w:r>
      <w:r w:rsidR="009C23E3">
        <w:t>support</w:t>
      </w:r>
      <w:r w:rsidRPr="009C23E3">
        <w:t xml:space="preserve"> – albeit </w:t>
      </w:r>
      <w:r w:rsidR="009C23E3">
        <w:t xml:space="preserve">far </w:t>
      </w:r>
      <w:r w:rsidRPr="009C23E3">
        <w:t>less pronounced in the pre-</w:t>
      </w:r>
      <w:r>
        <w:t xml:space="preserve">spill context, for comprehensive, federally-led remediation via </w:t>
      </w:r>
      <w:r w:rsidR="009C23E3">
        <w:t xml:space="preserve">NPL </w:t>
      </w:r>
      <w:r w:rsidRPr="00657131">
        <w:t xml:space="preserve">listing of abandoned mine sites in </w:t>
      </w:r>
      <w:r>
        <w:t>San Juan County</w:t>
      </w:r>
      <w:r w:rsidRPr="00657131">
        <w:t xml:space="preserve">.  This has been </w:t>
      </w:r>
      <w:r w:rsidR="009C23E3">
        <w:t xml:space="preserve">sporadically </w:t>
      </w:r>
      <w:r>
        <w:t xml:space="preserve">expressed by </w:t>
      </w:r>
      <w:r w:rsidRPr="00657131">
        <w:t>Durango</w:t>
      </w:r>
      <w:r>
        <w:t>-area</w:t>
      </w:r>
      <w:r w:rsidRPr="00657131">
        <w:t xml:space="preserve"> residents</w:t>
      </w:r>
      <w:r>
        <w:t>, particularly</w:t>
      </w:r>
      <w:r w:rsidRPr="00657131">
        <w:t xml:space="preserve"> </w:t>
      </w:r>
      <w:r>
        <w:t xml:space="preserve">among those </w:t>
      </w:r>
      <w:r w:rsidRPr="00657131">
        <w:t xml:space="preserve">linked to </w:t>
      </w:r>
      <w:r>
        <w:t xml:space="preserve">agriculture, tourism, and </w:t>
      </w:r>
      <w:r w:rsidRPr="00657131">
        <w:t xml:space="preserve">water-based recreation </w:t>
      </w:r>
      <w:r>
        <w:t xml:space="preserve">interests </w:t>
      </w:r>
      <w:r w:rsidRPr="00657131">
        <w:t>on the Animas River</w:t>
      </w:r>
      <w:r>
        <w:t xml:space="preserve">.  However in the </w:t>
      </w:r>
      <w:r w:rsidRPr="008524A7">
        <w:rPr>
          <w:i/>
        </w:rPr>
        <w:t>post-spill</w:t>
      </w:r>
      <w:r>
        <w:t xml:space="preserve"> context, support for NPL listing for sites in the Upper watershed </w:t>
      </w:r>
      <w:r w:rsidR="007B44A3">
        <w:t xml:space="preserve">quickly </w:t>
      </w:r>
      <w:r>
        <w:t>became widespread.</w:t>
      </w:r>
    </w:p>
    <w:p w14:paraId="34EC8C06" w14:textId="4E7648DE" w:rsidR="009C23E3" w:rsidRDefault="009C23E3" w:rsidP="009C23E3">
      <w:pPr>
        <w:spacing w:line="480" w:lineRule="auto"/>
        <w:ind w:firstLine="720"/>
      </w:pPr>
      <w:r>
        <w:t xml:space="preserve">Perhaps the most outspoken critic of ARSG and their generally anti-Superfund position </w:t>
      </w:r>
      <w:r w:rsidRPr="005A63A2">
        <w:rPr>
          <w:i/>
        </w:rPr>
        <w:t>both</w:t>
      </w:r>
      <w:r>
        <w:t xml:space="preserve"> </w:t>
      </w:r>
      <w:r w:rsidRPr="000804E8">
        <w:rPr>
          <w:i/>
        </w:rPr>
        <w:t>prior to and following</w:t>
      </w:r>
      <w:r>
        <w:t xml:space="preserve"> the GKM spill has been </w:t>
      </w:r>
      <w:r w:rsidRPr="002779D1">
        <w:t>Travis Stills</w:t>
      </w:r>
      <w:r>
        <w:t xml:space="preserve">, </w:t>
      </w:r>
      <w:r w:rsidRPr="002779D1">
        <w:t>a Duran</w:t>
      </w:r>
      <w:r>
        <w:t>go-based environmental attorney.  According to Stills, most proponents of Good Samaritan legislation have also been the main opponents to Superfund listing.  This is supported by positions expressed by groups such as ASRG, Trout Unlimited, and the Colorado Mining Association.  Stills sees such groups as “either patsies of the likely Potentially-Responsible-Parties (PRPs) or paid consultants to the PRPs”</w:t>
      </w:r>
      <w:r w:rsidR="007B44A3">
        <w:t xml:space="preserve">.  Allegedly </w:t>
      </w:r>
      <w:r>
        <w:t xml:space="preserve">these </w:t>
      </w:r>
      <w:r w:rsidR="007B44A3">
        <w:t xml:space="preserve">groups </w:t>
      </w:r>
      <w:r>
        <w:t>have operated primarily as “PRP-shielding effort[s]”.</w:t>
      </w:r>
      <w:r w:rsidRPr="00983FE0">
        <w:rPr>
          <w:rStyle w:val="EndnoteReference"/>
          <w:sz w:val="20"/>
          <w:szCs w:val="20"/>
        </w:rPr>
        <w:endnoteReference w:id="29"/>
      </w:r>
    </w:p>
    <w:p w14:paraId="627A4F2B" w14:textId="77777777" w:rsidR="008524A7" w:rsidRPr="00E45632" w:rsidRDefault="008524A7" w:rsidP="008524A7">
      <w:pPr>
        <w:spacing w:line="480" w:lineRule="auto"/>
        <w:rPr>
          <w:b/>
          <w:i/>
        </w:rPr>
      </w:pPr>
      <w:r w:rsidRPr="00E45632">
        <w:rPr>
          <w:b/>
          <w:i/>
        </w:rPr>
        <w:t>The Advocacy Coalition Framework</w:t>
      </w:r>
      <w:r>
        <w:rPr>
          <w:b/>
          <w:i/>
        </w:rPr>
        <w:t xml:space="preserve"> (ACF)</w:t>
      </w:r>
    </w:p>
    <w:p w14:paraId="093C2281" w14:textId="77777777" w:rsidR="008524A7" w:rsidRPr="00657131" w:rsidRDefault="008524A7" w:rsidP="008524A7">
      <w:pPr>
        <w:spacing w:line="480" w:lineRule="auto"/>
      </w:pPr>
      <w:r w:rsidRPr="00657131">
        <w:t xml:space="preserve">The ACF was developed in the early-1980s by Paul Sabatier and Hank Jenkins-Smith, as a “comprehensive approach to understanding politics and policy change over time”... by “shed[ing] light on ideological disagreement and policy conflict” between competing coalitions </w:t>
      </w:r>
      <w:r w:rsidRPr="00657131">
        <w:lastRenderedPageBreak/>
        <w:t xml:space="preserve">(Jenkins-Smith et. al. 2017, 136).   The basis of unity for actors in each coalition is a </w:t>
      </w:r>
      <w:r>
        <w:t xml:space="preserve">common </w:t>
      </w:r>
      <w:r w:rsidRPr="00657131">
        <w:t>belief system, which grounds their poli</w:t>
      </w:r>
      <w:r>
        <w:t>cy preferences and informs related</w:t>
      </w:r>
      <w:r w:rsidRPr="00657131">
        <w:t xml:space="preserve"> strategies.  </w:t>
      </w:r>
    </w:p>
    <w:p w14:paraId="63046855" w14:textId="7121CEBC" w:rsidR="008524A7" w:rsidRDefault="008524A7" w:rsidP="008524A7">
      <w:pPr>
        <w:spacing w:line="480" w:lineRule="auto"/>
        <w:ind w:firstLine="720"/>
      </w:pPr>
      <w:r w:rsidRPr="00657131">
        <w:t>As a potential pathway to policy change, the ACF posits an external event or dramatic shock to the status quo, which may prompt increased public and political attention to a given situation.  This exposure and increased scrutiny may enable a coalition that favors change to successfully overcome the inertia behind the status quo and policy stasis.</w:t>
      </w:r>
      <w:r>
        <w:t xml:space="preserve">  </w:t>
      </w:r>
      <w:r w:rsidRPr="00657131">
        <w:t xml:space="preserve">The widespread public and political attention following the GKM spill revealed that the status quo of AMD in the Upper watershed was unacceptable; </w:t>
      </w:r>
      <w:r>
        <w:t xml:space="preserve">presumably </w:t>
      </w:r>
      <w:r w:rsidRPr="00657131">
        <w:t xml:space="preserve">this bolstered efforts of the coalition in support of Superfund designation and </w:t>
      </w:r>
      <w:r w:rsidR="007B44A3">
        <w:t xml:space="preserve">caused members of the competing coalition to reconsider Superfund listing.  Together, these </w:t>
      </w:r>
      <w:r w:rsidRPr="00657131">
        <w:t xml:space="preserve">provided the impetus for this </w:t>
      </w:r>
      <w:r>
        <w:t>substantive policy change following</w:t>
      </w:r>
      <w:r w:rsidRPr="00657131">
        <w:t xml:space="preserve"> decades of opposition to comprehensive, federally-led restoration of AMD from abandoned mines in San Juan County.</w:t>
      </w:r>
    </w:p>
    <w:p w14:paraId="3B236AEF" w14:textId="77777777" w:rsidR="008524A7" w:rsidRPr="00657131" w:rsidRDefault="008524A7" w:rsidP="008524A7">
      <w:pPr>
        <w:spacing w:line="480" w:lineRule="auto"/>
        <w:rPr>
          <w:i/>
        </w:rPr>
      </w:pPr>
      <w:r w:rsidRPr="00657131">
        <w:rPr>
          <w:i/>
        </w:rPr>
        <w:t>Belief Systems</w:t>
      </w:r>
    </w:p>
    <w:p w14:paraId="5BA52F85" w14:textId="6DAB3D38" w:rsidR="008524A7" w:rsidRPr="00657131" w:rsidRDefault="007B44A3" w:rsidP="008524A7">
      <w:pPr>
        <w:spacing w:line="480" w:lineRule="auto"/>
        <w:ind w:firstLine="720"/>
      </w:pPr>
      <w:r>
        <w:t>T</w:t>
      </w:r>
      <w:r w:rsidR="008524A7" w:rsidRPr="00657131">
        <w:t>he ACF presumes that policy actors in a given subsystem have belief systems comprised of three tiers</w:t>
      </w:r>
      <w:r w:rsidR="008524A7">
        <w:t xml:space="preserve">, each with a different degree of susceptibility to change (ibid, 140-145).  </w:t>
      </w:r>
      <w:r w:rsidR="008524A7" w:rsidRPr="00657131">
        <w:t xml:space="preserve">The first, innermost tier involves so-called </w:t>
      </w:r>
      <w:r w:rsidR="008524A7" w:rsidRPr="00657131">
        <w:rPr>
          <w:i/>
        </w:rPr>
        <w:t>deep core beliefs</w:t>
      </w:r>
      <w:r w:rsidR="008524A7" w:rsidRPr="00657131">
        <w:t xml:space="preserve">, which are </w:t>
      </w:r>
      <w:r w:rsidR="008524A7">
        <w:t>based on normative view</w:t>
      </w:r>
      <w:r w:rsidR="008524A7" w:rsidRPr="00657131">
        <w:t>s and values reg</w:t>
      </w:r>
      <w:r w:rsidR="008524A7">
        <w:t xml:space="preserve">arding human nature and </w:t>
      </w:r>
      <w:r w:rsidR="008524A7" w:rsidRPr="00657131">
        <w:t xml:space="preserve">political ideology, including the appropriate role and scope of government in society.  Deep core beliefs </w:t>
      </w:r>
      <w:r w:rsidR="008524A7">
        <w:t>are firmly</w:t>
      </w:r>
      <w:r w:rsidR="008524A7" w:rsidRPr="00657131">
        <w:t xml:space="preserve"> held by individuals and oftentimes </w:t>
      </w:r>
      <w:r w:rsidR="008524A7">
        <w:t xml:space="preserve">are </w:t>
      </w:r>
      <w:r w:rsidR="008524A7" w:rsidRPr="00657131">
        <w:t xml:space="preserve">unchangeable; they form the basis and unity for advocacy coalitions in the ACF.  </w:t>
      </w:r>
    </w:p>
    <w:p w14:paraId="6B1CE63E" w14:textId="77777777" w:rsidR="008524A7" w:rsidRPr="00657131" w:rsidRDefault="008524A7" w:rsidP="008524A7">
      <w:pPr>
        <w:spacing w:line="480" w:lineRule="auto"/>
        <w:ind w:firstLine="720"/>
      </w:pPr>
      <w:r w:rsidRPr="00657131">
        <w:t xml:space="preserve">In contrast, so-called </w:t>
      </w:r>
      <w:r w:rsidRPr="00657131">
        <w:rPr>
          <w:i/>
        </w:rPr>
        <w:t>policy core beliefs</w:t>
      </w:r>
      <w:r w:rsidRPr="00657131">
        <w:t xml:space="preserve"> constitute the second tier.  They are most often policy specific </w:t>
      </w:r>
      <w:r>
        <w:t xml:space="preserve">and </w:t>
      </w:r>
      <w:r w:rsidRPr="00657131">
        <w:t xml:space="preserve">are said to be “bound by scope and topic to the subsystem [thus] hav[ing] </w:t>
      </w:r>
      <w:r w:rsidRPr="00657131">
        <w:lastRenderedPageBreak/>
        <w:t>ter</w:t>
      </w:r>
      <w:r>
        <w:t>ritorial and topical components</w:t>
      </w:r>
      <w:r w:rsidRPr="00657131">
        <w:t>”</w:t>
      </w:r>
      <w:r>
        <w:t xml:space="preserve"> (ibid, 140). </w:t>
      </w:r>
      <w:r w:rsidRPr="00657131">
        <w:t xml:space="preserve"> Examples may include policy priorities; assessments of problem severity; root causes of problems; and preferred or acceptable solutions.   As such, policy core beliefs bolster the well-being unique to actors in competing coalitions.</w:t>
      </w:r>
      <w:r>
        <w:t xml:space="preserve">  Their susceptibility to change is moderate.</w:t>
      </w:r>
    </w:p>
    <w:p w14:paraId="4EB9CC10" w14:textId="77777777" w:rsidR="008524A7" w:rsidRPr="00657131" w:rsidRDefault="008524A7" w:rsidP="008524A7">
      <w:pPr>
        <w:spacing w:line="480" w:lineRule="auto"/>
        <w:ind w:firstLine="720"/>
      </w:pPr>
      <w:r w:rsidRPr="00657131">
        <w:t>Thirdly</w:t>
      </w:r>
      <w:r>
        <w:t>,</w:t>
      </w:r>
      <w:r w:rsidRPr="00657131">
        <w:t xml:space="preserve"> at the outermost tier</w:t>
      </w:r>
      <w:r>
        <w:t xml:space="preserve"> </w:t>
      </w:r>
      <w:r w:rsidRPr="00657131">
        <w:t xml:space="preserve">are so-called </w:t>
      </w:r>
      <w:r w:rsidRPr="00657131">
        <w:rPr>
          <w:i/>
        </w:rPr>
        <w:t>secondary beliefs</w:t>
      </w:r>
      <w:r w:rsidRPr="00657131">
        <w:t xml:space="preserve">.  </w:t>
      </w:r>
      <w:r>
        <w:t xml:space="preserve">Unlike the previous two, these are not </w:t>
      </w:r>
      <w:r w:rsidRPr="00657131">
        <w:t>deeply he</w:t>
      </w:r>
      <w:r>
        <w:t>ld by actors</w:t>
      </w:r>
      <w:r w:rsidRPr="00657131">
        <w:t xml:space="preserve"> and are said to “deal with a subset of the policy subsystem or the specific instrumental means for achieving the desired outcomes outl</w:t>
      </w:r>
      <w:r>
        <w:t>ined in the policy core beliefs</w:t>
      </w:r>
      <w:r w:rsidRPr="00657131">
        <w:t>”</w:t>
      </w:r>
      <w:r>
        <w:t xml:space="preserve"> (ibid, 141).</w:t>
      </w:r>
      <w:r w:rsidRPr="00657131">
        <w:t xml:space="preserve">   Of t</w:t>
      </w:r>
      <w:r>
        <w:t>he three belief layers,</w:t>
      </w:r>
      <w:r w:rsidRPr="00657131">
        <w:t xml:space="preserve"> </w:t>
      </w:r>
      <w:r>
        <w:t xml:space="preserve">these </w:t>
      </w:r>
      <w:r w:rsidRPr="00657131">
        <w:t xml:space="preserve">are posited as the most susceptible to change following a focusing event and/or </w:t>
      </w:r>
      <w:r>
        <w:t xml:space="preserve">the </w:t>
      </w:r>
      <w:r w:rsidRPr="00657131">
        <w:t>release of new information</w:t>
      </w:r>
      <w:r>
        <w:t xml:space="preserve"> (Wieble et al. 2011)</w:t>
      </w:r>
      <w:r w:rsidRPr="00657131">
        <w:t>.</w:t>
      </w:r>
    </w:p>
    <w:p w14:paraId="48D65F3F" w14:textId="77777777" w:rsidR="008524A7" w:rsidRPr="00EE2D1F" w:rsidRDefault="008524A7" w:rsidP="008524A7">
      <w:pPr>
        <w:spacing w:line="480" w:lineRule="auto"/>
        <w:rPr>
          <w:b/>
        </w:rPr>
      </w:pPr>
      <w:r w:rsidRPr="00EE2D1F">
        <w:rPr>
          <w:b/>
        </w:rPr>
        <w:t>Magnitudes of Policy Change</w:t>
      </w:r>
    </w:p>
    <w:p w14:paraId="6310E121" w14:textId="5D588A66" w:rsidR="008524A7" w:rsidRPr="00657131" w:rsidRDefault="008524A7" w:rsidP="008524A7">
      <w:pPr>
        <w:spacing w:line="480" w:lineRule="auto"/>
      </w:pPr>
      <w:r w:rsidRPr="00657131">
        <w:t xml:space="preserve">Not all policy changes are </w:t>
      </w:r>
      <w:r>
        <w:t>equal; r</w:t>
      </w:r>
      <w:r w:rsidRPr="00657131">
        <w:t>ather, they co</w:t>
      </w:r>
      <w:r>
        <w:t>me in magnitudes or degrees of change</w:t>
      </w:r>
      <w:r w:rsidRPr="00657131">
        <w:t xml:space="preserve"> to existing policies and the status quo.   Leading ACF scholars refer to this as the “directionality of policy evolution” and argue that there exist different levels of policy change – just as there are different tiers of belief systems</w:t>
      </w:r>
      <w:r>
        <w:t xml:space="preserve"> (</w:t>
      </w:r>
      <w:r w:rsidRPr="00657131">
        <w:t>Jenkins-Smith et. al. 2017</w:t>
      </w:r>
      <w:r>
        <w:t>, 144).</w:t>
      </w:r>
      <w:r w:rsidRPr="00657131">
        <w:t xml:space="preserve">  And since the ACF presumes that policies and government programs are manifestations of policy-oriented beliefs, a change in beliefs represents a change in policy</w:t>
      </w:r>
      <w:r>
        <w:t xml:space="preserve"> (ibid). </w:t>
      </w:r>
      <w:r w:rsidRPr="00657131">
        <w:t xml:space="preserve"> Hence the distinction between major and minor policy change.</w:t>
      </w:r>
    </w:p>
    <w:p w14:paraId="1999A8C0" w14:textId="77777777" w:rsidR="008524A7" w:rsidRDefault="008524A7" w:rsidP="008524A7">
      <w:pPr>
        <w:spacing w:line="480" w:lineRule="auto"/>
        <w:ind w:firstLine="720"/>
      </w:pPr>
      <w:r>
        <w:t>To reiterate</w:t>
      </w:r>
      <w:r w:rsidRPr="00657131">
        <w:t xml:space="preserve">, deep core beliefs held by coalitions are unlikely to change.  Thus, major policy change is generally less likely than minor policy </w:t>
      </w:r>
      <w:r w:rsidRPr="00205C29">
        <w:t xml:space="preserve">change (Sabatier 1988).  Yet, major changes </w:t>
      </w:r>
      <w:r>
        <w:t xml:space="preserve">– such as Superfund listing in the GKM case, </w:t>
      </w:r>
      <w:r w:rsidRPr="00205C29">
        <w:t xml:space="preserve">remain a possibility, given a set of certain conditions or considerations.  </w:t>
      </w:r>
    </w:p>
    <w:p w14:paraId="69676B31" w14:textId="5A597119" w:rsidR="008524A7" w:rsidRPr="008524A7" w:rsidRDefault="008524A7" w:rsidP="008524A7">
      <w:pPr>
        <w:spacing w:line="480" w:lineRule="auto"/>
        <w:ind w:firstLine="720"/>
      </w:pPr>
      <w:r w:rsidRPr="00205C29">
        <w:lastRenderedPageBreak/>
        <w:t xml:space="preserve">The first </w:t>
      </w:r>
      <w:r>
        <w:t xml:space="preserve">of these </w:t>
      </w:r>
      <w:r w:rsidRPr="00205C29">
        <w:t xml:space="preserve">involves an unexpected, dramatic event external to the subsystem </w:t>
      </w:r>
      <w:r>
        <w:t>(i.e., beyond the control of</w:t>
      </w:r>
      <w:r w:rsidRPr="00205C29">
        <w:t xml:space="preserve"> primary actors), which may set in motion </w:t>
      </w:r>
      <w:r w:rsidRPr="00205C29">
        <w:rPr>
          <w:i/>
        </w:rPr>
        <w:t>internal</w:t>
      </w:r>
      <w:r w:rsidRPr="00205C29">
        <w:t xml:space="preserve"> or </w:t>
      </w:r>
      <w:r w:rsidRPr="00205C29">
        <w:rPr>
          <w:i/>
        </w:rPr>
        <w:t>external</w:t>
      </w:r>
      <w:r w:rsidRPr="00205C29">
        <w:t xml:space="preserve"> </w:t>
      </w:r>
      <w:r w:rsidRPr="00471E99">
        <w:rPr>
          <w:i/>
        </w:rPr>
        <w:t xml:space="preserve">shocks </w:t>
      </w:r>
      <w:r w:rsidRPr="00205C29">
        <w:t xml:space="preserve">to subsystem.  An internal shock </w:t>
      </w:r>
      <w:r>
        <w:t>occurs when a coalition’s actors react to a focusing event by reevaluating certain core beliefs.  In the process, some may realize that existing policy (i.e., the status quo) has failed; this may lead actors to adopt policy preferences of the rival coalition, thus supporting changes to government programs and/or the development of new policy.   An external shock to the subsystem results when a significant number of actors effectively endorse some, nontrivial percentage of the other coalition’s secondary</w:t>
      </w:r>
      <w:r w:rsidRPr="005970BE">
        <w:rPr>
          <w:i/>
        </w:rPr>
        <w:t xml:space="preserve"> and</w:t>
      </w:r>
      <w:r>
        <w:t xml:space="preserve"> policy core beliefs – the balance of power between coalitions has shifted, as the pro-change coalition’s belief system and core policy preference is seen by the majority of actors as the most effective (and perhaps only remaining) means as addressing the problem.  The coalition in support of the status quo is no longer able to defend existing policy; policy change occurs.</w:t>
      </w:r>
    </w:p>
    <w:p w14:paraId="639FE512" w14:textId="77777777" w:rsidR="00CC7538" w:rsidRPr="009C23E3" w:rsidRDefault="00CC7538" w:rsidP="00CC7538">
      <w:pPr>
        <w:rPr>
          <w:b/>
        </w:rPr>
      </w:pPr>
      <w:r w:rsidRPr="009C23E3">
        <w:rPr>
          <w:b/>
        </w:rPr>
        <w:t>The Pro-Status Quo Coalition – Resist Federal Takeover and Superfund Designation</w:t>
      </w:r>
    </w:p>
    <w:p w14:paraId="0823DE0D" w14:textId="77777777" w:rsidR="00CC7538" w:rsidRDefault="00CC7538" w:rsidP="00CC7538">
      <w:pPr>
        <w:rPr>
          <w:b/>
          <w:i/>
        </w:rPr>
      </w:pPr>
    </w:p>
    <w:p w14:paraId="630A4B86" w14:textId="481794D0" w:rsidR="00CC7538" w:rsidRDefault="00CC7538" w:rsidP="00CC7538">
      <w:pPr>
        <w:spacing w:line="480" w:lineRule="auto"/>
      </w:pPr>
      <w:r>
        <w:t>Prior to the GKM spill, a set of core beliefs consistent with the policy preference of this</w:t>
      </w:r>
      <w:r w:rsidR="008243B3">
        <w:t xml:space="preserve"> </w:t>
      </w:r>
      <w:r>
        <w:t xml:space="preserve">coalition would </w:t>
      </w:r>
      <w:r w:rsidR="007B44A3">
        <w:t xml:space="preserve">likely </w:t>
      </w:r>
      <w:r>
        <w:t>include support for main normative tenants of  free market, laissez-faire capitalism (limited intervention, free enterprise, and private property rights); libertarianism (individual liberty, freedom of choice); limited government (less intrusion); states’ rights; and new federalism (devolution of power from federal to state governments).</w:t>
      </w:r>
      <w:r w:rsidR="00A3000B" w:rsidRPr="00983FE0">
        <w:rPr>
          <w:rStyle w:val="EndnoteReference"/>
          <w:sz w:val="20"/>
          <w:szCs w:val="20"/>
        </w:rPr>
        <w:endnoteReference w:id="30"/>
      </w:r>
      <w:r w:rsidR="008243B3" w:rsidRPr="00983FE0">
        <w:rPr>
          <w:sz w:val="20"/>
          <w:szCs w:val="20"/>
        </w:rPr>
        <w:t xml:space="preserve"> </w:t>
      </w:r>
      <w:r w:rsidR="008243B3">
        <w:t xml:space="preserve"> </w:t>
      </w:r>
      <w:r w:rsidR="007B44A3">
        <w:t>T</w:t>
      </w:r>
      <w:r w:rsidR="00A3000B">
        <w:t>hese beliefs capture basic aspects of a belief system that is consistent with a policy preference for locally-driven</w:t>
      </w:r>
      <w:r w:rsidR="007B44A3">
        <w:t xml:space="preserve"> (i.e., non-federal)</w:t>
      </w:r>
      <w:r w:rsidR="00A3000B">
        <w:t xml:space="preserve">, stakeholder-based, and collaborative approaches to remediate AMD and improve water quality in the Animas River.   </w:t>
      </w:r>
    </w:p>
    <w:p w14:paraId="6CF33818" w14:textId="2056D2B0" w:rsidR="006C2A8E" w:rsidRDefault="00CC7538" w:rsidP="00A3000B">
      <w:pPr>
        <w:spacing w:line="480" w:lineRule="auto"/>
        <w:ind w:firstLine="720"/>
      </w:pPr>
      <w:r>
        <w:lastRenderedPageBreak/>
        <w:t xml:space="preserve">It is difficult, perhaps impossible to fully determine the degree change in this coalition’s system of beliefs in the current, </w:t>
      </w:r>
      <w:r w:rsidRPr="00292C7B">
        <w:rPr>
          <w:i/>
        </w:rPr>
        <w:t>post</w:t>
      </w:r>
      <w:r>
        <w:t>-spill environment; the assumption is that many coalition actors continue to espouse many of th</w:t>
      </w:r>
      <w:r w:rsidR="00760024">
        <w:t>eir core beliefs</w:t>
      </w:r>
      <w:r>
        <w:t>.  What is now clear however, is the seriousness of AMD from abandoned sites in San Juan County, and that a significant policy change has occurred, as demonstrated by the unanimous endorsement of Superfund listing by local, county, and state officials</w:t>
      </w:r>
      <w:r w:rsidR="00A3000B">
        <w:t xml:space="preserve">.  </w:t>
      </w:r>
      <w:r>
        <w:t>For the most part, ARSG sustained the pre-spill opposition to Superfund, yet the group was</w:t>
      </w:r>
      <w:r w:rsidRPr="00205259">
        <w:t xml:space="preserve"> forced to confront a new reality following the dramatic events of August 5</w:t>
      </w:r>
      <w:r w:rsidRPr="00205259">
        <w:rPr>
          <w:vertAlign w:val="superscript"/>
        </w:rPr>
        <w:t>th</w:t>
      </w:r>
      <w:r w:rsidRPr="00205259">
        <w:t xml:space="preserve">, 2015. </w:t>
      </w:r>
      <w:r w:rsidR="006C2A8E">
        <w:t xml:space="preserve">  In addition, Republican </w:t>
      </w:r>
      <w:r w:rsidR="006C2A8E" w:rsidRPr="00F8682B">
        <w:t>U.S. Representative Scott Tipton</w:t>
      </w:r>
      <w:r w:rsidR="006C2A8E">
        <w:t xml:space="preserve"> – whose district </w:t>
      </w:r>
      <w:r w:rsidR="006C2A8E" w:rsidRPr="00F8682B">
        <w:t>(CO-3</w:t>
      </w:r>
      <w:r w:rsidR="006C2A8E" w:rsidRPr="00584C18">
        <w:t>)</w:t>
      </w:r>
      <w:r w:rsidR="006C2A8E" w:rsidRPr="00AA0F9A">
        <w:t xml:space="preserve"> </w:t>
      </w:r>
      <w:r w:rsidR="006C2A8E">
        <w:t xml:space="preserve">includes both San Juan and La Plata counties, has cited loss of local control and negative economic impacts as reasons to oppose Superfund.  </w:t>
      </w:r>
      <w:r w:rsidR="006C2A8E" w:rsidRPr="00AA0F9A">
        <w:t xml:space="preserve">In a letter written to the Region </w:t>
      </w:r>
      <w:r w:rsidR="006C2A8E">
        <w:t>8 EPA administrator, Tipton stated:</w:t>
      </w:r>
    </w:p>
    <w:p w14:paraId="49BBF0D9" w14:textId="77777777" w:rsidR="006C2A8E" w:rsidRDefault="006C2A8E" w:rsidP="006C2A8E">
      <w:pPr>
        <w:jc w:val="both"/>
      </w:pPr>
      <w:r w:rsidRPr="00AA0F9A">
        <w:t xml:space="preserve"> “The Animas River Stakeholder Group has proposed a collaborative process to improve water quality in the Animas River. The group has taken great care to include the voices of those affected and advance an effective, common sense solution. I support the collaborative effort to improve the environmental integrity of the area. I also believe that the community-based process is a superior option to the Superfund designation.</w:t>
      </w:r>
      <w:r>
        <w:t>”</w:t>
      </w:r>
      <w:r w:rsidRPr="00983FE0">
        <w:rPr>
          <w:rStyle w:val="EndnoteReference"/>
          <w:sz w:val="20"/>
          <w:szCs w:val="20"/>
        </w:rPr>
        <w:endnoteReference w:id="31"/>
      </w:r>
      <w:r w:rsidRPr="000B3C32">
        <w:t xml:space="preserve"> </w:t>
      </w:r>
    </w:p>
    <w:p w14:paraId="2BBF4EE7" w14:textId="548AD3FB" w:rsidR="00CC7538" w:rsidRPr="00205259" w:rsidRDefault="00CC7538" w:rsidP="00CC7538">
      <w:pPr>
        <w:spacing w:line="480" w:lineRule="auto"/>
        <w:ind w:firstLine="720"/>
      </w:pPr>
    </w:p>
    <w:p w14:paraId="6B25E078" w14:textId="77777777" w:rsidR="00CC7538" w:rsidRPr="009C23E3" w:rsidRDefault="00CC7538" w:rsidP="00CC7538">
      <w:pPr>
        <w:spacing w:line="480" w:lineRule="auto"/>
        <w:rPr>
          <w:b/>
          <w:i/>
        </w:rPr>
      </w:pPr>
      <w:r w:rsidRPr="009C23E3">
        <w:rPr>
          <w:b/>
          <w:i/>
        </w:rPr>
        <w:t>Animas River Stakeholders Group (ARSG)</w:t>
      </w:r>
    </w:p>
    <w:p w14:paraId="272147DE" w14:textId="3C0335AF" w:rsidR="00CC7538" w:rsidRDefault="00A3000B" w:rsidP="00CC7538">
      <w:pPr>
        <w:spacing w:line="480" w:lineRule="auto"/>
        <w:rPr>
          <w:rFonts w:eastAsia="Times New Roman" w:cs="Times New Roman"/>
          <w:color w:val="262626"/>
          <w:shd w:val="clear" w:color="auto" w:fill="FFFFFF"/>
        </w:rPr>
      </w:pPr>
      <w:r>
        <w:t>In response to earlier proposals for Superfund designation</w:t>
      </w:r>
      <w:r w:rsidR="00760024">
        <w:t xml:space="preserve"> in the 1990’s</w:t>
      </w:r>
      <w:r>
        <w:t xml:space="preserve">, the Silverton-based </w:t>
      </w:r>
      <w:r w:rsidR="00CC7538" w:rsidRPr="00205259">
        <w:t xml:space="preserve">ARSG was founded in 1994 by William Simon, Stephen Fearn, and Peter Butler.   The </w:t>
      </w:r>
      <w:r w:rsidR="00CC7538">
        <w:t xml:space="preserve">group’s </w:t>
      </w:r>
      <w:r w:rsidR="00CC7538" w:rsidRPr="00205259">
        <w:t>c</w:t>
      </w:r>
      <w:r w:rsidR="00CC7538">
        <w:t>urrently-stated mission is to “</w:t>
      </w:r>
      <w:r w:rsidR="00CC7538" w:rsidRPr="00205259">
        <w:t>i</w:t>
      </w:r>
      <w:r w:rsidR="00CC7538" w:rsidRPr="00205259">
        <w:rPr>
          <w:rFonts w:cs="Trebuchet MS"/>
        </w:rPr>
        <w:t>mprove water quality and habitats in the Animas River through a collaborative process designed to encourage participation from all</w:t>
      </w:r>
      <w:r w:rsidR="00CC7538">
        <w:rPr>
          <w:rFonts w:cs="Trebuchet MS"/>
        </w:rPr>
        <w:t xml:space="preserve"> interested parties.”  </w:t>
      </w:r>
      <w:r w:rsidR="00CC7538">
        <w:rPr>
          <w:rFonts w:eastAsia="Times New Roman" w:cs="Times New Roman"/>
        </w:rPr>
        <w:t xml:space="preserve">According to </w:t>
      </w:r>
      <w:r w:rsidR="00CC7538">
        <w:rPr>
          <w:rFonts w:eastAsia="Times New Roman" w:cs="Times New Roman"/>
          <w:color w:val="262626"/>
          <w:shd w:val="clear" w:color="auto" w:fill="FFFFFF"/>
        </w:rPr>
        <w:t>Simon, local residents, mine operators, and mine owners</w:t>
      </w:r>
      <w:r w:rsidR="00CC7538" w:rsidRPr="00205259">
        <w:rPr>
          <w:rFonts w:eastAsia="Times New Roman" w:cs="Times New Roman"/>
          <w:color w:val="262626"/>
          <w:shd w:val="clear" w:color="auto" w:fill="FFFFFF"/>
        </w:rPr>
        <w:t xml:space="preserve"> </w:t>
      </w:r>
      <w:r w:rsidR="00CC7538">
        <w:rPr>
          <w:rFonts w:eastAsia="Times New Roman" w:cs="Times New Roman"/>
          <w:color w:val="262626"/>
          <w:shd w:val="clear" w:color="auto" w:fill="FFFFFF"/>
        </w:rPr>
        <w:t xml:space="preserve">initially formed the </w:t>
      </w:r>
      <w:r w:rsidR="00760024">
        <w:rPr>
          <w:rFonts w:eastAsia="Times New Roman" w:cs="Times New Roman"/>
          <w:color w:val="262626"/>
          <w:shd w:val="clear" w:color="auto" w:fill="FFFFFF"/>
        </w:rPr>
        <w:t xml:space="preserve">group due to </w:t>
      </w:r>
      <w:r w:rsidR="00CC7538">
        <w:rPr>
          <w:rFonts w:eastAsia="Times New Roman" w:cs="Times New Roman"/>
          <w:color w:val="262626"/>
          <w:shd w:val="clear" w:color="auto" w:fill="FFFFFF"/>
        </w:rPr>
        <w:t xml:space="preserve">their opposition to Superfund designation and associated fears of losing local control regarding implementation of </w:t>
      </w:r>
      <w:r w:rsidR="00CC7538" w:rsidRPr="00205259">
        <w:rPr>
          <w:rFonts w:eastAsia="Times New Roman" w:cs="Times New Roman"/>
          <w:color w:val="262626"/>
          <w:shd w:val="clear" w:color="auto" w:fill="FFFFFF"/>
        </w:rPr>
        <w:t xml:space="preserve">water </w:t>
      </w:r>
      <w:r w:rsidR="00CC7538">
        <w:rPr>
          <w:rFonts w:eastAsia="Times New Roman" w:cs="Times New Roman"/>
          <w:color w:val="262626"/>
          <w:shd w:val="clear" w:color="auto" w:fill="FFFFFF"/>
        </w:rPr>
        <w:t xml:space="preserve">quality </w:t>
      </w:r>
      <w:r w:rsidR="00CC7538" w:rsidRPr="00205259">
        <w:rPr>
          <w:rFonts w:eastAsia="Times New Roman" w:cs="Times New Roman"/>
          <w:color w:val="262626"/>
          <w:shd w:val="clear" w:color="auto" w:fill="FFFFFF"/>
        </w:rPr>
        <w:t>standards</w:t>
      </w:r>
      <w:r w:rsidR="00CC7538">
        <w:rPr>
          <w:rFonts w:eastAsia="Times New Roman" w:cs="Times New Roman"/>
          <w:color w:val="262626"/>
          <w:shd w:val="clear" w:color="auto" w:fill="FFFFFF"/>
        </w:rPr>
        <w:t>.</w:t>
      </w:r>
      <w:r w:rsidR="00CC7538" w:rsidRPr="00983FE0">
        <w:rPr>
          <w:rStyle w:val="EndnoteReference"/>
          <w:rFonts w:eastAsia="Times New Roman" w:cs="Times New Roman"/>
          <w:color w:val="262626"/>
          <w:sz w:val="20"/>
          <w:szCs w:val="20"/>
          <w:shd w:val="clear" w:color="auto" w:fill="FFFFFF"/>
        </w:rPr>
        <w:endnoteReference w:id="32"/>
      </w:r>
    </w:p>
    <w:p w14:paraId="1F5BD743" w14:textId="5D148BE0" w:rsidR="00CC7538" w:rsidRDefault="00CC7538" w:rsidP="00CC7538">
      <w:pPr>
        <w:spacing w:line="480" w:lineRule="auto"/>
        <w:ind w:firstLine="720"/>
      </w:pPr>
      <w:r>
        <w:lastRenderedPageBreak/>
        <w:t xml:space="preserve">While not </w:t>
      </w:r>
      <w:r w:rsidRPr="00CE2FF7">
        <w:rPr>
          <w:i/>
        </w:rPr>
        <w:t>expressly</w:t>
      </w:r>
      <w:r>
        <w:t xml:space="preserve"> an anti-Superfund forum today, longtime members and ARSG founders consistently advocated for avoiding official designation because of distrust towards EPA, the State of Colorado, and local environmental groups (Coughlin, et al. 1999).  Regarding the latter, San Juan County Commissioner Bill Redd asked ARSG’s initial facilitator (Gary Broetzman), the following in 1994, </w:t>
      </w:r>
      <w:r w:rsidRPr="00AA0F9A">
        <w:t>"Do the crazy environmentalists from that crazy town downstream [Durango] have to</w:t>
      </w:r>
      <w:r>
        <w:t xml:space="preserve"> participate" (Coughlin et al. 1999). </w:t>
      </w:r>
    </w:p>
    <w:p w14:paraId="1624AA11" w14:textId="767021FD" w:rsidR="00CC7538" w:rsidRPr="00225612" w:rsidRDefault="00CC7538" w:rsidP="00225612">
      <w:pPr>
        <w:spacing w:line="480" w:lineRule="auto"/>
        <w:ind w:firstLine="720"/>
        <w:rPr>
          <w:rFonts w:eastAsia="Times New Roman" w:cs="Times New Roman"/>
          <w:color w:val="333333"/>
          <w:shd w:val="clear" w:color="auto" w:fill="FEFEFE"/>
        </w:rPr>
      </w:pPr>
      <w:r w:rsidRPr="00FB61F0">
        <w:t xml:space="preserve">Following the 2016 Superfund designation of BPMD, </w:t>
      </w:r>
      <w:r>
        <w:t xml:space="preserve">the future role of </w:t>
      </w:r>
      <w:r w:rsidRPr="00FB61F0">
        <w:t>ARSG</w:t>
      </w:r>
      <w:r>
        <w:t xml:space="preserve"> in the Upper watershed</w:t>
      </w:r>
      <w:r w:rsidRPr="00FB61F0">
        <w:t xml:space="preserve"> </w:t>
      </w:r>
      <w:r>
        <w:t>remains uncertain.  When asked about</w:t>
      </w:r>
      <w:r w:rsidRPr="00FB61F0">
        <w:t xml:space="preserve"> </w:t>
      </w:r>
      <w:r>
        <w:t xml:space="preserve">this, founding ARSG member Peter </w:t>
      </w:r>
      <w:r w:rsidRPr="00FB61F0">
        <w:t>Butler</w:t>
      </w:r>
      <w:r>
        <w:t xml:space="preserve"> responded</w:t>
      </w:r>
      <w:r w:rsidRPr="00FB61F0">
        <w:t xml:space="preserve">, </w:t>
      </w:r>
      <w:r w:rsidRPr="00FB61F0">
        <w:rPr>
          <w:rFonts w:eastAsia="Times New Roman" w:cs="Times New Roman"/>
          <w:color w:val="333333"/>
          <w:shd w:val="clear" w:color="auto" w:fill="FEFEFE"/>
        </w:rPr>
        <w:t>“I think i</w:t>
      </w:r>
      <w:r>
        <w:rPr>
          <w:rFonts w:eastAsia="Times New Roman" w:cs="Times New Roman"/>
          <w:color w:val="333333"/>
          <w:shd w:val="clear" w:color="auto" w:fill="FEFEFE"/>
        </w:rPr>
        <w:t xml:space="preserve">t’s really just up in the air.  </w:t>
      </w:r>
      <w:r w:rsidRPr="00FB61F0">
        <w:rPr>
          <w:rFonts w:eastAsia="Times New Roman" w:cs="Times New Roman"/>
          <w:color w:val="333333"/>
          <w:shd w:val="clear" w:color="auto" w:fill="FEFEFE"/>
        </w:rPr>
        <w:t xml:space="preserve">We don’t know at this point. It’ll </w:t>
      </w:r>
      <w:r w:rsidRPr="005A3899">
        <w:rPr>
          <w:rFonts w:eastAsia="Times New Roman" w:cs="Times New Roman"/>
          <w:color w:val="333333"/>
          <w:shd w:val="clear" w:color="auto" w:fill="FEFEFE"/>
        </w:rPr>
        <w:t>make it more challenging to do any more remediation projects for sure.”</w:t>
      </w:r>
      <w:r w:rsidRPr="00983FE0">
        <w:rPr>
          <w:rStyle w:val="EndnoteReference"/>
          <w:rFonts w:eastAsia="Times New Roman" w:cs="Times New Roman"/>
          <w:color w:val="333333"/>
          <w:sz w:val="20"/>
          <w:szCs w:val="20"/>
          <w:shd w:val="clear" w:color="auto" w:fill="FEFEFE"/>
        </w:rPr>
        <w:endnoteReference w:id="33"/>
      </w:r>
    </w:p>
    <w:p w14:paraId="5F4177E2" w14:textId="77777777" w:rsidR="00225612" w:rsidRPr="00657131" w:rsidRDefault="00225612" w:rsidP="00225612">
      <w:pPr>
        <w:spacing w:line="480" w:lineRule="auto"/>
        <w:rPr>
          <w:b/>
          <w:i/>
        </w:rPr>
      </w:pPr>
      <w:r>
        <w:rPr>
          <w:b/>
          <w:i/>
        </w:rPr>
        <w:t>A</w:t>
      </w:r>
      <w:r w:rsidRPr="00657131">
        <w:rPr>
          <w:b/>
          <w:i/>
        </w:rPr>
        <w:t xml:space="preserve"> Pro-Change Coalition – Supportive of Superfund Designation</w:t>
      </w:r>
      <w:r>
        <w:rPr>
          <w:b/>
          <w:i/>
        </w:rPr>
        <w:t>?</w:t>
      </w:r>
    </w:p>
    <w:p w14:paraId="6DA0FACE" w14:textId="27AA6599" w:rsidR="00225612" w:rsidRPr="000B3C32" w:rsidRDefault="00225612" w:rsidP="00225612">
      <w:pPr>
        <w:spacing w:line="480" w:lineRule="auto"/>
        <w:rPr>
          <w:rFonts w:eastAsia="Times New Roman" w:cs="Times New Roman"/>
        </w:rPr>
      </w:pPr>
      <w:r>
        <w:t xml:space="preserve">In the Lower watershed, there is </w:t>
      </w:r>
      <w:r w:rsidRPr="00454E95">
        <w:rPr>
          <w:i/>
        </w:rPr>
        <w:t>currently</w:t>
      </w:r>
      <w:r>
        <w:t xml:space="preserve"> strong support </w:t>
      </w:r>
      <w:r w:rsidRPr="000B3C32">
        <w:t>for</w:t>
      </w:r>
      <w:r>
        <w:t xml:space="preserve"> Superfund and the impending </w:t>
      </w:r>
      <w:r w:rsidRPr="000B3C32">
        <w:t>federally-led remediation of abandoned mine</w:t>
      </w:r>
      <w:r>
        <w:t xml:space="preserve"> sites in the BPMD</w:t>
      </w:r>
      <w:r w:rsidRPr="000B3C32">
        <w:t xml:space="preserve">.  </w:t>
      </w:r>
      <w:r>
        <w:t xml:space="preserve">The </w:t>
      </w:r>
      <w:r>
        <w:rPr>
          <w:rFonts w:eastAsia="Times New Roman" w:cs="Times New Roman"/>
          <w:color w:val="000000"/>
        </w:rPr>
        <w:t>m</w:t>
      </w:r>
      <w:r w:rsidRPr="000B3C32">
        <w:rPr>
          <w:rFonts w:eastAsia="Times New Roman" w:cs="Times New Roman"/>
          <w:color w:val="000000"/>
        </w:rPr>
        <w:t xml:space="preserve">ain </w:t>
      </w:r>
      <w:r>
        <w:rPr>
          <w:rFonts w:eastAsia="Times New Roman" w:cs="Times New Roman"/>
          <w:color w:val="000000"/>
        </w:rPr>
        <w:t xml:space="preserve">actors in this coalition are local politicians, </w:t>
      </w:r>
      <w:r w:rsidR="00916D9C">
        <w:rPr>
          <w:rFonts w:eastAsia="Times New Roman" w:cs="Times New Roman"/>
          <w:color w:val="000000"/>
        </w:rPr>
        <w:t xml:space="preserve">everyday citizens, </w:t>
      </w:r>
      <w:r w:rsidRPr="000B3C32">
        <w:rPr>
          <w:rFonts w:eastAsia="Times New Roman" w:cs="Times New Roman"/>
          <w:color w:val="000000"/>
        </w:rPr>
        <w:t>environmental organizations</w:t>
      </w:r>
      <w:r>
        <w:rPr>
          <w:rFonts w:eastAsia="Times New Roman" w:cs="Times New Roman"/>
          <w:color w:val="000000"/>
        </w:rPr>
        <w:t>,</w:t>
      </w:r>
      <w:r w:rsidRPr="000B3C32">
        <w:rPr>
          <w:rFonts w:eastAsia="Times New Roman" w:cs="Times New Roman"/>
          <w:color w:val="000000"/>
        </w:rPr>
        <w:t xml:space="preserve"> </w:t>
      </w:r>
      <w:r>
        <w:rPr>
          <w:rFonts w:eastAsia="Times New Roman" w:cs="Times New Roman"/>
          <w:color w:val="000000"/>
        </w:rPr>
        <w:t>downriver Native American Reservations, a</w:t>
      </w:r>
      <w:r w:rsidRPr="000B3C32">
        <w:rPr>
          <w:rFonts w:eastAsia="Times New Roman" w:cs="Times New Roman"/>
          <w:color w:val="000000"/>
        </w:rPr>
        <w:t xml:space="preserve">nd </w:t>
      </w:r>
      <w:r>
        <w:rPr>
          <w:rFonts w:eastAsia="Times New Roman" w:cs="Times New Roman"/>
          <w:color w:val="000000"/>
        </w:rPr>
        <w:t xml:space="preserve">members of </w:t>
      </w:r>
      <w:r w:rsidRPr="000B3C32">
        <w:rPr>
          <w:rFonts w:eastAsia="Times New Roman" w:cs="Times New Roman"/>
          <w:color w:val="000000"/>
        </w:rPr>
        <w:t>the recreation-</w:t>
      </w:r>
      <w:r>
        <w:rPr>
          <w:rFonts w:eastAsia="Times New Roman" w:cs="Times New Roman"/>
          <w:color w:val="000000"/>
        </w:rPr>
        <w:t xml:space="preserve"> and tourism-</w:t>
      </w:r>
      <w:r w:rsidRPr="000B3C32">
        <w:rPr>
          <w:rFonts w:eastAsia="Times New Roman" w:cs="Times New Roman"/>
          <w:color w:val="000000"/>
        </w:rPr>
        <w:t>based community</w:t>
      </w:r>
      <w:r>
        <w:rPr>
          <w:rFonts w:eastAsia="Times New Roman" w:cs="Times New Roman"/>
          <w:color w:val="000000"/>
        </w:rPr>
        <w:t xml:space="preserve"> of Durango, CO</w:t>
      </w:r>
      <w:r w:rsidRPr="000B3C32">
        <w:rPr>
          <w:rFonts w:eastAsia="Times New Roman" w:cs="Times New Roman"/>
          <w:color w:val="000000"/>
        </w:rPr>
        <w:t>.</w:t>
      </w:r>
    </w:p>
    <w:p w14:paraId="53C2ABA4" w14:textId="1C89965B" w:rsidR="00225612" w:rsidRDefault="00225612" w:rsidP="00225612">
      <w:pPr>
        <w:spacing w:line="480" w:lineRule="auto"/>
        <w:ind w:firstLine="720"/>
      </w:pPr>
      <w:r w:rsidRPr="00403A2D">
        <w:rPr>
          <w:i/>
        </w:rPr>
        <w:t>Prior</w:t>
      </w:r>
      <w:r w:rsidRPr="000B3C32">
        <w:t xml:space="preserve"> to the 2015 GKM spill however, th</w:t>
      </w:r>
      <w:r w:rsidR="00760024">
        <w:t>e</w:t>
      </w:r>
      <w:r w:rsidRPr="000B3C32">
        <w:t xml:space="preserve"> pro-change coalition was </w:t>
      </w:r>
      <w:r>
        <w:t xml:space="preserve">far </w:t>
      </w:r>
      <w:r w:rsidRPr="000B3C32">
        <w:t xml:space="preserve">less organized, visible, and active </w:t>
      </w:r>
      <w:r>
        <w:t xml:space="preserve">when </w:t>
      </w:r>
      <w:r w:rsidRPr="000B3C32">
        <w:t>compared to</w:t>
      </w:r>
      <w:r>
        <w:t xml:space="preserve"> the competing </w:t>
      </w:r>
      <w:r w:rsidR="00760024">
        <w:t xml:space="preserve">one.  </w:t>
      </w:r>
      <w:r>
        <w:t xml:space="preserve">This observation is largely based on the </w:t>
      </w:r>
      <w:r>
        <w:rPr>
          <w:i/>
        </w:rPr>
        <w:t xml:space="preserve">complete </w:t>
      </w:r>
      <w:r w:rsidRPr="00FD6385">
        <w:rPr>
          <w:i/>
        </w:rPr>
        <w:t>absence</w:t>
      </w:r>
      <w:r>
        <w:t xml:space="preserve"> of an organized forum similar to ARSG.  This paucity of organized support for Superfund in the Lower watershed was unexpected; prior to initiating research for this project, it was assumed that </w:t>
      </w:r>
      <w:r w:rsidR="00760024">
        <w:t xml:space="preserve">some </w:t>
      </w:r>
      <w:r w:rsidR="00916D9C">
        <w:t xml:space="preserve">form of </w:t>
      </w:r>
      <w:r>
        <w:t>such a support base would have existed.</w:t>
      </w:r>
    </w:p>
    <w:p w14:paraId="6E3FA7B0" w14:textId="53BA56B9" w:rsidR="00225612" w:rsidRDefault="00225612" w:rsidP="00225612">
      <w:pPr>
        <w:spacing w:line="480" w:lineRule="auto"/>
        <w:ind w:firstLine="720"/>
      </w:pPr>
      <w:r>
        <w:lastRenderedPageBreak/>
        <w:t xml:space="preserve">Notwithstanding, it is possible to posit a set of beliefs consistent with the post-spill policy preference of the pro-change, pro-Superfund </w:t>
      </w:r>
      <w:r w:rsidR="00760024">
        <w:t>perspective</w:t>
      </w:r>
      <w:r>
        <w:t xml:space="preserve">.  </w:t>
      </w:r>
      <w:r w:rsidR="00EC52DE">
        <w:t xml:space="preserve">To varying degrees, these include normative support for tenants of regulatory capitalism (government intervention), social liberalism (activist government), and traditional cooperative federalism (integrated programs and collaborative working relations between federal and state governments).  </w:t>
      </w:r>
      <w:r>
        <w:t>In addition, multiple tribal nations are located in the Lower watershed; in the post-spill context, they have endorsed NPL listing and espoused additional preferences for self-determination and security, as well as defense for unique spiritual beliefs related to water and traditional ways of life.</w:t>
      </w:r>
      <w:r w:rsidR="00760024">
        <w:t xml:space="preserve">  And, concerns over environmental justice on behalf of Native American communities have grown more intense the farther down the river flows in the watershed.</w:t>
      </w:r>
    </w:p>
    <w:p w14:paraId="77585C3C" w14:textId="1CB09B93" w:rsidR="00225612" w:rsidRDefault="00225612" w:rsidP="00225612">
      <w:pPr>
        <w:spacing w:line="480" w:lineRule="auto"/>
        <w:ind w:firstLine="720"/>
      </w:pPr>
      <w:r>
        <w:t>Th</w:t>
      </w:r>
      <w:r w:rsidR="00760024">
        <w:t xml:space="preserve">e </w:t>
      </w:r>
      <w:r>
        <w:t xml:space="preserve">fact that very little organized, pre-spill support for Superfund existed in the Durango-area and downriver Native American communities is significant.  Indeed, a fundamental assumption of the ACF is that in most policy disputes, there exist identifiable coalitions organized around broad and competing policy preferences – and that these coalitions exist in some organized form prior to a compelling or dramatic focusing event.  Even in the pre-spill context, the initial assumption was that there would have been two identifiable, cohesive coalitions organized around each main perspective on AMD remediation (i.e., pro-Good Samaritan/anti-Superfund versus pro-Superfund).  Findings from this research </w:t>
      </w:r>
      <w:r w:rsidR="00760024">
        <w:t xml:space="preserve">suggest </w:t>
      </w:r>
      <w:r>
        <w:t xml:space="preserve">something different; rather than a well-developed policy subsystem with two clear coalitions – as suggested by the ACF, it is likely that a nascent or bifurcated subsystem existed in the pre-spill </w:t>
      </w:r>
      <w:r w:rsidR="00760024">
        <w:t xml:space="preserve">Lower </w:t>
      </w:r>
      <w:r>
        <w:t xml:space="preserve">Animas River basin – one without real congruence between beliefs </w:t>
      </w:r>
      <w:r w:rsidRPr="004F4A58">
        <w:rPr>
          <w:i/>
        </w:rPr>
        <w:t xml:space="preserve">and </w:t>
      </w:r>
      <w:r>
        <w:t xml:space="preserve">coordinated activity unique to each coalition.  </w:t>
      </w:r>
    </w:p>
    <w:p w14:paraId="57C9733E" w14:textId="0AB66228" w:rsidR="00EE2D1F" w:rsidRDefault="00225612" w:rsidP="00606F5E">
      <w:pPr>
        <w:pStyle w:val="NoSpacing"/>
        <w:spacing w:line="480" w:lineRule="auto"/>
      </w:pPr>
      <w:r>
        <w:lastRenderedPageBreak/>
        <w:t xml:space="preserve">This observation is bolstered by close inspection of the official definition of an </w:t>
      </w:r>
      <w:r w:rsidRPr="00D97B60">
        <w:rPr>
          <w:i/>
        </w:rPr>
        <w:t>advocacy coalition</w:t>
      </w:r>
      <w:r>
        <w:t xml:space="preserve"> according to the ACF.  The definition is strict and two-part; coalitions must have an ideological component (i.e., a belief system) </w:t>
      </w:r>
      <w:r>
        <w:rPr>
          <w:i/>
        </w:rPr>
        <w:t xml:space="preserve">and </w:t>
      </w:r>
      <w:r>
        <w:t xml:space="preserve">behavioral component (i.e., coordinated and organized activity over time) (Weible et al. 2011, 352).    While both components </w:t>
      </w:r>
      <w:r w:rsidR="005A3A35">
        <w:t>were</w:t>
      </w:r>
      <w:r>
        <w:t xml:space="preserve"> identifiable in the </w:t>
      </w:r>
      <w:r w:rsidRPr="00D97B60">
        <w:t>Upper watershed’s</w:t>
      </w:r>
      <w:r w:rsidRPr="005A3A35">
        <w:t xml:space="preserve"> </w:t>
      </w:r>
      <w:r>
        <w:t xml:space="preserve">anti-Superfund coalition, they </w:t>
      </w:r>
      <w:r w:rsidR="005A3A35">
        <w:t>were</w:t>
      </w:r>
      <w:r>
        <w:t xml:space="preserve"> far less concrete in the competing, pro-Superfund coalition</w:t>
      </w:r>
      <w:r w:rsidR="005A3A35">
        <w:t xml:space="preserve"> – that is until the fateful day of August 5, 2015</w:t>
      </w:r>
      <w:r>
        <w:t xml:space="preserve">.  </w:t>
      </w:r>
    </w:p>
    <w:p w14:paraId="7F3234A5" w14:textId="5A7C32E3" w:rsidR="00B61360" w:rsidRPr="00914D8E" w:rsidRDefault="00B61360" w:rsidP="00914D8E">
      <w:pPr>
        <w:pStyle w:val="NoSpacing"/>
        <w:numPr>
          <w:ilvl w:val="0"/>
          <w:numId w:val="3"/>
        </w:numPr>
        <w:spacing w:line="480" w:lineRule="auto"/>
        <w:rPr>
          <w:b/>
        </w:rPr>
      </w:pPr>
      <w:r w:rsidRPr="00914D8E">
        <w:rPr>
          <w:b/>
        </w:rPr>
        <w:t>Initial Remediation Plans</w:t>
      </w:r>
      <w:r w:rsidR="00914D8E">
        <w:rPr>
          <w:b/>
        </w:rPr>
        <w:t xml:space="preserve"> and Criticism</w:t>
      </w:r>
    </w:p>
    <w:p w14:paraId="61CE3C45" w14:textId="0ADBA0A9" w:rsidR="00A552DB" w:rsidRDefault="00B61360" w:rsidP="00606F5E">
      <w:pPr>
        <w:pStyle w:val="NoSpacing"/>
        <w:spacing w:line="480" w:lineRule="auto"/>
      </w:pPr>
      <w:r w:rsidRPr="00B61360">
        <w:t xml:space="preserve">In June 2018, EPA released its proposed “Interim Remedial </w:t>
      </w:r>
      <w:r w:rsidR="00EC52DE" w:rsidRPr="00B61360">
        <w:t>Action</w:t>
      </w:r>
      <w:r w:rsidR="00EC52DE">
        <w:t>s” plan</w:t>
      </w:r>
      <w:r w:rsidRPr="00B61360">
        <w:t xml:space="preserve"> </w:t>
      </w:r>
      <w:r w:rsidR="00B50B05">
        <w:t xml:space="preserve">(IRAP) – </w:t>
      </w:r>
      <w:r w:rsidR="00F15CD8">
        <w:t>informally referred to as the ‘quick-action cleanup plan’</w:t>
      </w:r>
      <w:r w:rsidR="00B50B05">
        <w:t>,</w:t>
      </w:r>
      <w:r w:rsidR="00F15CD8">
        <w:t xml:space="preserve"> </w:t>
      </w:r>
      <w:r w:rsidRPr="00B61360">
        <w:t>for inaugural restoration work at 26 abandoned mining sites in the BPMD outside of Silverton.</w:t>
      </w:r>
      <w:r w:rsidR="00E64A72" w:rsidRPr="00983FE0">
        <w:rPr>
          <w:rStyle w:val="EndnoteReference"/>
          <w:sz w:val="20"/>
          <w:szCs w:val="20"/>
        </w:rPr>
        <w:endnoteReference w:id="34"/>
      </w:r>
      <w:r w:rsidRPr="00983FE0">
        <w:rPr>
          <w:sz w:val="20"/>
          <w:szCs w:val="20"/>
        </w:rPr>
        <w:t xml:space="preserve"> </w:t>
      </w:r>
      <w:r w:rsidRPr="00B61360">
        <w:t xml:space="preserve"> In particular, EPA </w:t>
      </w:r>
      <w:r w:rsidR="0095350D">
        <w:t>created five</w:t>
      </w:r>
      <w:r w:rsidR="00DD5D96">
        <w:t xml:space="preserve"> types or sources of potential AMD-related pollution </w:t>
      </w:r>
      <w:r w:rsidR="00A552DB">
        <w:t xml:space="preserve">(officially termed “contaminant migration issues”) </w:t>
      </w:r>
      <w:r w:rsidR="00DD5D96">
        <w:t xml:space="preserve">at the 26 sites.  The first involves mine portal discharges, of which there are 20.  The second targets 11 sites where stormwater and mining-related materials comingle.  The third focuses on contaminated sediments held in mine portal settling ponds.  The fourth centers on two sites where mine wastes are entirely within or located on both banks of a waterway.  </w:t>
      </w:r>
      <w:r w:rsidR="00A552DB">
        <w:t xml:space="preserve">The final type of contaminant migration issue targets five mining-impacted recreation areas (e.g., campgrounds or dispersed campsites) </w:t>
      </w:r>
      <w:r w:rsidRPr="00B61360">
        <w:t>where tailings piles or contaminated soils levels of arsenic and lead in excess of human-health thresholds.</w:t>
      </w:r>
      <w:r w:rsidR="00A552DB" w:rsidRPr="00983FE0">
        <w:rPr>
          <w:rStyle w:val="EndnoteReference"/>
          <w:sz w:val="20"/>
          <w:szCs w:val="20"/>
        </w:rPr>
        <w:endnoteReference w:id="35"/>
      </w:r>
    </w:p>
    <w:p w14:paraId="214C3C7C" w14:textId="03FA830B" w:rsidR="004A450E" w:rsidRDefault="004A450E" w:rsidP="00A552DB">
      <w:pPr>
        <w:pStyle w:val="NoSpacing"/>
        <w:spacing w:line="480" w:lineRule="auto"/>
      </w:pPr>
      <w:r>
        <w:t xml:space="preserve"> </w:t>
      </w:r>
      <w:r w:rsidR="00A552DB">
        <w:tab/>
      </w:r>
      <w:r w:rsidR="00B61360" w:rsidRPr="00B61360">
        <w:t>Overall costs are estimated at $9.9 million, or roughly $2 million annually for the projected next five years.  According to EPA, these projects will occur simultaneously with the formulation of the more comprehensive, long-term plan known as the “Site-wide Remedial Investigation and Feasibility Study”, which will address restoration at all 48 mine sites</w:t>
      </w:r>
      <w:r w:rsidR="00760024">
        <w:t xml:space="preserve"> within </w:t>
      </w:r>
      <w:r w:rsidR="00760024">
        <w:lastRenderedPageBreak/>
        <w:t>the BPMD</w:t>
      </w:r>
      <w:r>
        <w:t>, including GKM</w:t>
      </w:r>
      <w:r w:rsidR="00760024">
        <w:t xml:space="preserve"> and others in the Cement Creek drainage</w:t>
      </w:r>
      <w:r w:rsidR="00B61360" w:rsidRPr="00B61360">
        <w:t xml:space="preserve">.  Specific to the GKM site, EPA plans to transition the temporary water treatment plant at Gladstone to some form of a permanent facility by January 2022.  </w:t>
      </w:r>
    </w:p>
    <w:p w14:paraId="3F3D9E73" w14:textId="761D5178" w:rsidR="00C809E5" w:rsidRDefault="00E64A72" w:rsidP="00A552DB">
      <w:pPr>
        <w:pStyle w:val="NoSpacing"/>
        <w:spacing w:line="480" w:lineRule="auto"/>
      </w:pPr>
      <w:r>
        <w:tab/>
        <w:t xml:space="preserve">The majority of public comments submitted in response to </w:t>
      </w:r>
      <w:r w:rsidR="00A851D1">
        <w:t>th</w:t>
      </w:r>
      <w:r w:rsidR="00760024">
        <w:t>is</w:t>
      </w:r>
      <w:r>
        <w:t xml:space="preserve"> proposed ‘quick-action’ plan were critical</w:t>
      </w:r>
      <w:r w:rsidR="00A851D1">
        <w:t xml:space="preserve">; many commenters cited their disapproval of EPA’s focus on remediation activities at a large number of relatively minor sites of AMD-related pollution, as opposed to focusing on a smaller number of </w:t>
      </w:r>
      <w:r w:rsidR="00C809E5">
        <w:t>major sites of AMD contamination – specifically those high in the Cement Creek drainage such as the GKM, Red &amp; Bonita Mine, the American Tunnel, and the Mogul Mine complex (Romero 2018).</w:t>
      </w:r>
    </w:p>
    <w:p w14:paraId="3D840FAC" w14:textId="24F0B4E9" w:rsidR="00C809E5" w:rsidRDefault="00C809E5" w:rsidP="00A552DB">
      <w:pPr>
        <w:pStyle w:val="NoSpacing"/>
        <w:spacing w:line="480" w:lineRule="auto"/>
      </w:pPr>
      <w:r>
        <w:tab/>
        <w:t xml:space="preserve">In addition, many commenters expressed ongoing skepticism and distrust of EPA’s takeover of AMD remediation in the Upper Animas watershed.  For </w:t>
      </w:r>
      <w:r w:rsidR="00EC52DE">
        <w:t>example,</w:t>
      </w:r>
      <w:r>
        <w:t xml:space="preserve"> Peter Butler, current co-coordinator of ARSG, reacted to the proposed interim plan by stating, the plan “seems to have been developed for the political purpose of showing that something is being done as opposed to developing an overall cost-effective strategy for improving water quality</w:t>
      </w:r>
      <w:r w:rsidR="00D115FE">
        <w:t>” (ibid).  Reflecting a similar sentiment, Bill Simon, Coordinator Emeritus of ARSG, stated “if one was serious about ‘draining the swamp’ I would suggest saving most of the over $8M and 10 years of fiddling around and instead attack the real cause of the problem.  That alone will go further than a bunch of high visibility ‘feel good’ projects primarily designed for PR purposes” (ibid).</w:t>
      </w:r>
    </w:p>
    <w:p w14:paraId="6E0C4339" w14:textId="69B909BA" w:rsidR="00D115FE" w:rsidRDefault="00D115FE" w:rsidP="00A552DB">
      <w:pPr>
        <w:pStyle w:val="NoSpacing"/>
        <w:spacing w:line="480" w:lineRule="auto"/>
      </w:pPr>
      <w:r>
        <w:tab/>
        <w:t xml:space="preserve">In response, then-interim project manager for BPMD cited how the extreme complexity of the mine network in Cement Creek justified the proposed activities and that years of investigation are necessary for development of a long-term solution for large sources of AMD </w:t>
      </w:r>
      <w:r>
        <w:lastRenderedPageBreak/>
        <w:t xml:space="preserve">such as GKM.  </w:t>
      </w:r>
      <w:r w:rsidR="00EC52DE">
        <w:t>Specifically,</w:t>
      </w:r>
      <w:r w:rsidR="00B50B05">
        <w:t xml:space="preserve"> it was stated that the proposed plan deals with “immediate steps that are relatively straightforward and simple” across the entire headwaters of the Animas River (ibid).  At the time of this writing EPA had not released its interim Record of Decision (ROD), which may include changes based on its consideration of comments made in response to the June 2018 IRAP.  Implementation of any remedial actions at any of BPMD’s 48-sites will not occur until the ROD is released by EPA…</w:t>
      </w:r>
    </w:p>
    <w:p w14:paraId="705DCB97" w14:textId="77777777" w:rsidR="00914D8E" w:rsidRDefault="00914D8E" w:rsidP="00914D8E">
      <w:pPr>
        <w:pStyle w:val="NoSpacing"/>
        <w:numPr>
          <w:ilvl w:val="0"/>
          <w:numId w:val="3"/>
        </w:numPr>
        <w:spacing w:line="480" w:lineRule="auto"/>
        <w:rPr>
          <w:b/>
        </w:rPr>
      </w:pPr>
      <w:r>
        <w:rPr>
          <w:b/>
        </w:rPr>
        <w:t xml:space="preserve">Conclusion </w:t>
      </w:r>
    </w:p>
    <w:p w14:paraId="26E16C9C" w14:textId="4A2A221B" w:rsidR="00914D8E" w:rsidRPr="00914D8E" w:rsidRDefault="00914D8E" w:rsidP="00914D8E">
      <w:pPr>
        <w:pStyle w:val="NoSpacing"/>
        <w:spacing w:line="480" w:lineRule="auto"/>
        <w:ind w:left="360"/>
        <w:rPr>
          <w:b/>
        </w:rPr>
      </w:pPr>
      <w:r w:rsidRPr="00914D8E">
        <w:t xml:space="preserve">Since the </w:t>
      </w:r>
      <w:r>
        <w:t xml:space="preserve">water </w:t>
      </w:r>
      <w:r w:rsidRPr="00914D8E">
        <w:t xml:space="preserve">treatment plant went online in October 2015, the sludge has been stored onsite </w:t>
      </w:r>
      <w:r>
        <w:t xml:space="preserve">along Cement Creek </w:t>
      </w:r>
      <w:r w:rsidRPr="00914D8E">
        <w:t xml:space="preserve">at </w:t>
      </w:r>
      <w:r>
        <w:t xml:space="preserve">an area known as </w:t>
      </w:r>
      <w:r w:rsidRPr="00914D8E">
        <w:t xml:space="preserve">Gladstone.  According to EPA, the amount of available storage space was to be entirely filled by August 2018.  For months previously, EPA had unsuccessfully searched for additional storage space in the Upper Animas watershed.  </w:t>
      </w:r>
      <w:r>
        <w:t>The massive tailings ponds north of Silverton, operated by GKM’s current owner (Sunnyside Gold Corporation)</w:t>
      </w:r>
      <w:r w:rsidRPr="00914D8E">
        <w:t xml:space="preserve"> had been identified as suitable locations, yet the company has been listed as a PRP for EPA’s cleanup and the two sides were unable to agree upon acceptable uses for the ponds.  As the one viable option remaining, it was decided that all future sludge would be transported by truck more than 70-miles and over two mountain passes to a landfill south of Durango, near the New Mexico border.  Elected officials and the majority of residents in both San Juan and La Plata Counties opposed the plan on financial, public safety, and environmental grounds – particularly the carbon footprint that would result from the estimated 700 annual trips spanning an unknown number of years.</w:t>
      </w:r>
    </w:p>
    <w:p w14:paraId="311069B3" w14:textId="4C8DC030" w:rsidR="00914D8E" w:rsidRPr="00D244C9" w:rsidRDefault="00914D8E" w:rsidP="00416A77">
      <w:pPr>
        <w:pStyle w:val="NormalWeb"/>
        <w:spacing w:line="480" w:lineRule="auto"/>
        <w:ind w:firstLine="720"/>
        <w:rPr>
          <w:rFonts w:asciiTheme="minorHAnsi" w:hAnsiTheme="minorHAnsi"/>
          <w:sz w:val="24"/>
          <w:szCs w:val="24"/>
        </w:rPr>
      </w:pPr>
      <w:r w:rsidRPr="00D244C9">
        <w:rPr>
          <w:rFonts w:asciiTheme="minorHAnsi" w:hAnsiTheme="minorHAnsi"/>
          <w:sz w:val="24"/>
          <w:szCs w:val="24"/>
        </w:rPr>
        <w:lastRenderedPageBreak/>
        <w:t xml:space="preserve">With time running out on the search for an alternative plan, EPA reached an agreement for onsite storage at the historic </w:t>
      </w:r>
      <w:proofErr w:type="spellStart"/>
      <w:r w:rsidRPr="00D244C9">
        <w:rPr>
          <w:rFonts w:asciiTheme="minorHAnsi" w:hAnsiTheme="minorHAnsi"/>
          <w:sz w:val="24"/>
          <w:szCs w:val="24"/>
        </w:rPr>
        <w:t>Kittimac</w:t>
      </w:r>
      <w:proofErr w:type="spellEnd"/>
      <w:r w:rsidRPr="00D244C9">
        <w:rPr>
          <w:rFonts w:asciiTheme="minorHAnsi" w:hAnsiTheme="minorHAnsi"/>
          <w:sz w:val="24"/>
          <w:szCs w:val="24"/>
        </w:rPr>
        <w:t xml:space="preserve"> tailings pile, a 10- to 15-mile one-way drive from </w:t>
      </w:r>
      <w:r>
        <w:rPr>
          <w:rFonts w:asciiTheme="minorHAnsi" w:hAnsiTheme="minorHAnsi"/>
          <w:sz w:val="24"/>
          <w:szCs w:val="24"/>
        </w:rPr>
        <w:t xml:space="preserve">the </w:t>
      </w:r>
      <w:r w:rsidRPr="00D244C9">
        <w:rPr>
          <w:rFonts w:asciiTheme="minorHAnsi" w:hAnsiTheme="minorHAnsi"/>
          <w:sz w:val="24"/>
          <w:szCs w:val="24"/>
        </w:rPr>
        <w:t>Gladstone</w:t>
      </w:r>
      <w:r>
        <w:rPr>
          <w:rFonts w:asciiTheme="minorHAnsi" w:hAnsiTheme="minorHAnsi"/>
          <w:sz w:val="24"/>
          <w:szCs w:val="24"/>
        </w:rPr>
        <w:t xml:space="preserve"> treatment site.</w:t>
      </w:r>
      <w:r w:rsidRPr="00D244C9">
        <w:rPr>
          <w:rFonts w:asciiTheme="minorHAnsi" w:hAnsiTheme="minorHAnsi"/>
          <w:sz w:val="24"/>
          <w:szCs w:val="24"/>
        </w:rPr>
        <w:t xml:space="preserve">  Thus</w:t>
      </w:r>
      <w:r>
        <w:rPr>
          <w:rFonts w:asciiTheme="minorHAnsi" w:hAnsiTheme="minorHAnsi"/>
          <w:sz w:val="24"/>
          <w:szCs w:val="24"/>
        </w:rPr>
        <w:t>,</w:t>
      </w:r>
      <w:r w:rsidRPr="00D244C9">
        <w:rPr>
          <w:rFonts w:asciiTheme="minorHAnsi" w:hAnsiTheme="minorHAnsi"/>
          <w:sz w:val="24"/>
          <w:szCs w:val="24"/>
        </w:rPr>
        <w:t xml:space="preserve"> the short-term problem of sludge storage has been addressed, but what remains is the larger, more complex issue – what to do with the massive amounts of sludge that </w:t>
      </w:r>
      <w:r>
        <w:rPr>
          <w:rFonts w:asciiTheme="minorHAnsi" w:hAnsiTheme="minorHAnsi"/>
          <w:sz w:val="24"/>
          <w:szCs w:val="24"/>
        </w:rPr>
        <w:t xml:space="preserve">will </w:t>
      </w:r>
      <w:r w:rsidRPr="00D244C9">
        <w:rPr>
          <w:rFonts w:asciiTheme="minorHAnsi" w:hAnsiTheme="minorHAnsi"/>
          <w:sz w:val="24"/>
          <w:szCs w:val="24"/>
        </w:rPr>
        <w:t>result from long-term AMD treatment</w:t>
      </w:r>
      <w:r>
        <w:rPr>
          <w:rFonts w:asciiTheme="minorHAnsi" w:hAnsiTheme="minorHAnsi"/>
          <w:sz w:val="24"/>
          <w:szCs w:val="24"/>
        </w:rPr>
        <w:t xml:space="preserve"> under Superfund</w:t>
      </w:r>
      <w:r w:rsidR="00F9527E">
        <w:rPr>
          <w:rFonts w:asciiTheme="minorHAnsi" w:hAnsiTheme="minorHAnsi"/>
          <w:sz w:val="24"/>
          <w:szCs w:val="24"/>
        </w:rPr>
        <w:t>?</w:t>
      </w:r>
      <w:r w:rsidRPr="00D244C9">
        <w:rPr>
          <w:rFonts w:asciiTheme="minorHAnsi" w:hAnsiTheme="minorHAnsi"/>
          <w:sz w:val="24"/>
          <w:szCs w:val="24"/>
        </w:rPr>
        <w:t xml:space="preserve">  Meanwhile in the near-term, safety concerns over sludge transport across </w:t>
      </w:r>
      <w:r w:rsidRPr="00D244C9">
        <w:rPr>
          <w:rFonts w:asciiTheme="minorHAnsi" w:hAnsiTheme="minorHAnsi"/>
          <w:i/>
          <w:sz w:val="24"/>
          <w:szCs w:val="24"/>
        </w:rPr>
        <w:t xml:space="preserve">any </w:t>
      </w:r>
      <w:r w:rsidRPr="00D244C9">
        <w:rPr>
          <w:rFonts w:asciiTheme="minorHAnsi" w:hAnsiTheme="minorHAnsi"/>
          <w:sz w:val="24"/>
          <w:szCs w:val="24"/>
        </w:rPr>
        <w:t xml:space="preserve">distance remain valid.  A few days into the trucking of sludge to the </w:t>
      </w:r>
      <w:proofErr w:type="spellStart"/>
      <w:r w:rsidRPr="00D244C9">
        <w:rPr>
          <w:rFonts w:asciiTheme="minorHAnsi" w:hAnsiTheme="minorHAnsi"/>
          <w:sz w:val="24"/>
          <w:szCs w:val="24"/>
        </w:rPr>
        <w:t>Kittimac</w:t>
      </w:r>
      <w:proofErr w:type="spellEnd"/>
      <w:r w:rsidRPr="00D244C9">
        <w:rPr>
          <w:rFonts w:asciiTheme="minorHAnsi" w:hAnsiTheme="minorHAnsi"/>
          <w:sz w:val="24"/>
          <w:szCs w:val="24"/>
        </w:rPr>
        <w:t xml:space="preserve"> site, a vehicle driven by an EPA contractor crashed into Cement Creek, releasing roughly 9-cubic yards of sludge material into the waterway.  The driver was not seriously injured, yet such an inauspicious start hardly inspires much confidence</w:t>
      </w:r>
      <w:r w:rsidR="00F9527E">
        <w:rPr>
          <w:rFonts w:asciiTheme="minorHAnsi" w:hAnsiTheme="minorHAnsi"/>
          <w:sz w:val="24"/>
          <w:szCs w:val="24"/>
        </w:rPr>
        <w:t>…</w:t>
      </w:r>
    </w:p>
    <w:p w14:paraId="7FB503DB" w14:textId="7512D025" w:rsidR="00914D8E" w:rsidRDefault="00914D8E" w:rsidP="00914D8E">
      <w:pPr>
        <w:pStyle w:val="NoSpacing"/>
        <w:spacing w:line="480" w:lineRule="auto"/>
        <w:ind w:left="360"/>
        <w:rPr>
          <w:b/>
        </w:rPr>
      </w:pPr>
    </w:p>
    <w:p w14:paraId="6DC80C0E" w14:textId="2E837597" w:rsidR="00F9527E" w:rsidRDefault="00F9527E" w:rsidP="00914D8E">
      <w:pPr>
        <w:pStyle w:val="NoSpacing"/>
        <w:spacing w:line="480" w:lineRule="auto"/>
        <w:ind w:left="360"/>
        <w:rPr>
          <w:b/>
        </w:rPr>
      </w:pPr>
    </w:p>
    <w:p w14:paraId="0442E91E" w14:textId="15F5CD69" w:rsidR="00F9527E" w:rsidRDefault="00F9527E" w:rsidP="00914D8E">
      <w:pPr>
        <w:pStyle w:val="NoSpacing"/>
        <w:spacing w:line="480" w:lineRule="auto"/>
        <w:ind w:left="360"/>
        <w:rPr>
          <w:b/>
        </w:rPr>
      </w:pPr>
    </w:p>
    <w:p w14:paraId="11D600C0" w14:textId="59E783CA" w:rsidR="00F9527E" w:rsidRDefault="00F9527E" w:rsidP="00914D8E">
      <w:pPr>
        <w:pStyle w:val="NoSpacing"/>
        <w:spacing w:line="480" w:lineRule="auto"/>
        <w:ind w:left="360"/>
        <w:rPr>
          <w:b/>
        </w:rPr>
      </w:pPr>
    </w:p>
    <w:p w14:paraId="21B7C582" w14:textId="2220E000" w:rsidR="00F9527E" w:rsidRDefault="00F9527E" w:rsidP="00914D8E">
      <w:pPr>
        <w:pStyle w:val="NoSpacing"/>
        <w:spacing w:line="480" w:lineRule="auto"/>
        <w:ind w:left="360"/>
        <w:rPr>
          <w:b/>
        </w:rPr>
      </w:pPr>
    </w:p>
    <w:p w14:paraId="623E1652" w14:textId="02EB3C15" w:rsidR="00F9527E" w:rsidRDefault="00F9527E" w:rsidP="00914D8E">
      <w:pPr>
        <w:pStyle w:val="NoSpacing"/>
        <w:spacing w:line="480" w:lineRule="auto"/>
        <w:ind w:left="360"/>
        <w:rPr>
          <w:b/>
        </w:rPr>
      </w:pPr>
    </w:p>
    <w:p w14:paraId="156CA183" w14:textId="037CD4B2" w:rsidR="00F9527E" w:rsidRDefault="00F9527E" w:rsidP="00914D8E">
      <w:pPr>
        <w:pStyle w:val="NoSpacing"/>
        <w:spacing w:line="480" w:lineRule="auto"/>
        <w:ind w:left="360"/>
        <w:rPr>
          <w:b/>
        </w:rPr>
      </w:pPr>
    </w:p>
    <w:p w14:paraId="66F85A52" w14:textId="60ADFBB1" w:rsidR="00F9527E" w:rsidRDefault="00F9527E" w:rsidP="00914D8E">
      <w:pPr>
        <w:pStyle w:val="NoSpacing"/>
        <w:spacing w:line="480" w:lineRule="auto"/>
        <w:ind w:left="360"/>
        <w:rPr>
          <w:b/>
        </w:rPr>
      </w:pPr>
    </w:p>
    <w:p w14:paraId="0D9D9177" w14:textId="70E245BD" w:rsidR="00F9527E" w:rsidRDefault="00F9527E" w:rsidP="00914D8E">
      <w:pPr>
        <w:pStyle w:val="NoSpacing"/>
        <w:spacing w:line="480" w:lineRule="auto"/>
        <w:ind w:left="360"/>
        <w:rPr>
          <w:b/>
        </w:rPr>
      </w:pPr>
    </w:p>
    <w:p w14:paraId="339A56C0" w14:textId="42FEDD97" w:rsidR="00F9527E" w:rsidRDefault="00F9527E" w:rsidP="00914D8E">
      <w:pPr>
        <w:pStyle w:val="NoSpacing"/>
        <w:spacing w:line="480" w:lineRule="auto"/>
        <w:ind w:left="360"/>
        <w:rPr>
          <w:b/>
        </w:rPr>
      </w:pPr>
    </w:p>
    <w:p w14:paraId="4687BB87" w14:textId="6032036E" w:rsidR="00F9527E" w:rsidRDefault="00F9527E" w:rsidP="00914D8E">
      <w:pPr>
        <w:pStyle w:val="NoSpacing"/>
        <w:spacing w:line="480" w:lineRule="auto"/>
        <w:ind w:left="360"/>
        <w:rPr>
          <w:b/>
        </w:rPr>
      </w:pPr>
    </w:p>
    <w:p w14:paraId="79BA878C" w14:textId="77777777" w:rsidR="00F9527E" w:rsidRPr="00914D8E" w:rsidRDefault="00F9527E" w:rsidP="00914D8E">
      <w:pPr>
        <w:pStyle w:val="NoSpacing"/>
        <w:spacing w:line="480" w:lineRule="auto"/>
        <w:ind w:left="360"/>
        <w:rPr>
          <w:b/>
        </w:rPr>
      </w:pPr>
    </w:p>
    <w:p w14:paraId="49CF43E3" w14:textId="2C4AA9FB" w:rsidR="0062350D" w:rsidRDefault="0016439F" w:rsidP="0016439F">
      <w:pPr>
        <w:spacing w:line="480" w:lineRule="auto"/>
        <w:jc w:val="center"/>
        <w:rPr>
          <w:b/>
        </w:rPr>
      </w:pPr>
      <w:r>
        <w:rPr>
          <w:b/>
        </w:rPr>
        <w:lastRenderedPageBreak/>
        <w:t>APPENDIX I – HOW AMD IS FORMED</w:t>
      </w:r>
    </w:p>
    <w:p w14:paraId="4767D7FA" w14:textId="77777777" w:rsidR="0016439F" w:rsidRDefault="0016439F" w:rsidP="0016439F">
      <w:pPr>
        <w:spacing w:line="480" w:lineRule="auto"/>
        <w:jc w:val="center"/>
        <w:rPr>
          <w:b/>
        </w:rPr>
      </w:pPr>
    </w:p>
    <w:p w14:paraId="297DA4A7" w14:textId="21F68DC4" w:rsidR="0016439F" w:rsidRPr="00B61360" w:rsidRDefault="0016439F" w:rsidP="0016439F">
      <w:pPr>
        <w:spacing w:line="480" w:lineRule="auto"/>
        <w:rPr>
          <w:b/>
        </w:rPr>
      </w:pPr>
      <w:r w:rsidRPr="0016439F">
        <w:rPr>
          <w:b/>
          <w:noProof/>
        </w:rPr>
        <w:drawing>
          <wp:inline distT="0" distB="0" distL="0" distR="0" wp14:anchorId="0AA95161" wp14:editId="067E09C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62400"/>
                    </a:xfrm>
                    <a:prstGeom prst="rect">
                      <a:avLst/>
                    </a:prstGeom>
                  </pic:spPr>
                </pic:pic>
              </a:graphicData>
            </a:graphic>
          </wp:inline>
        </w:drawing>
      </w:r>
    </w:p>
    <w:p w14:paraId="2EC309E6" w14:textId="0B5F76B4" w:rsidR="00D91A3D" w:rsidRDefault="00D91A3D" w:rsidP="00D91A3D">
      <w:pPr>
        <w:spacing w:line="480" w:lineRule="auto"/>
        <w:rPr>
          <w:rFonts w:cs="Arial"/>
          <w:color w:val="262626"/>
        </w:rPr>
      </w:pPr>
    </w:p>
    <w:p w14:paraId="68598911" w14:textId="4DEC3B6C" w:rsidR="00D91A3D" w:rsidRDefault="00D91A3D" w:rsidP="00D91A3D">
      <w:pPr>
        <w:spacing w:line="480" w:lineRule="auto"/>
        <w:rPr>
          <w:rFonts w:cs="Arial"/>
          <w:color w:val="262626"/>
        </w:rPr>
      </w:pPr>
    </w:p>
    <w:p w14:paraId="7AB08DCD" w14:textId="623CDD11" w:rsidR="00D91A3D" w:rsidRDefault="00D91A3D" w:rsidP="00D91A3D">
      <w:pPr>
        <w:spacing w:line="480" w:lineRule="auto"/>
        <w:rPr>
          <w:rFonts w:cs="Arial"/>
          <w:color w:val="262626"/>
        </w:rPr>
      </w:pPr>
    </w:p>
    <w:p w14:paraId="53F9CF15" w14:textId="318A46C6" w:rsidR="00D91A3D" w:rsidRDefault="00D91A3D" w:rsidP="00D91A3D">
      <w:pPr>
        <w:spacing w:line="480" w:lineRule="auto"/>
        <w:rPr>
          <w:rFonts w:cs="Arial"/>
          <w:color w:val="262626"/>
        </w:rPr>
      </w:pPr>
    </w:p>
    <w:p w14:paraId="20C9F438" w14:textId="187C530A" w:rsidR="00D91A3D" w:rsidRDefault="00D91A3D" w:rsidP="00D91A3D">
      <w:pPr>
        <w:spacing w:line="480" w:lineRule="auto"/>
        <w:rPr>
          <w:rFonts w:cs="Arial"/>
          <w:color w:val="262626"/>
        </w:rPr>
      </w:pPr>
    </w:p>
    <w:p w14:paraId="748A5815" w14:textId="77777777" w:rsidR="005717AE" w:rsidRDefault="005717AE" w:rsidP="00D91A3D">
      <w:pPr>
        <w:spacing w:line="480" w:lineRule="auto"/>
        <w:rPr>
          <w:rFonts w:cs="Arial"/>
          <w:color w:val="262626"/>
        </w:rPr>
      </w:pPr>
    </w:p>
    <w:p w14:paraId="7BFEDEE4" w14:textId="548542FB" w:rsidR="00D91A3D" w:rsidRDefault="00D91A3D" w:rsidP="00D91A3D">
      <w:pPr>
        <w:spacing w:line="480" w:lineRule="auto"/>
        <w:rPr>
          <w:rFonts w:cs="Arial"/>
          <w:color w:val="262626"/>
        </w:rPr>
      </w:pPr>
    </w:p>
    <w:p w14:paraId="17678A0D" w14:textId="7A27D9A7" w:rsidR="00B1634A" w:rsidRDefault="00B1634A" w:rsidP="00D91A3D">
      <w:pPr>
        <w:spacing w:line="480" w:lineRule="auto"/>
        <w:rPr>
          <w:rFonts w:cs="Arial"/>
          <w:color w:val="262626"/>
        </w:rPr>
      </w:pPr>
    </w:p>
    <w:p w14:paraId="65D5E010" w14:textId="5901C484" w:rsidR="00B1634A" w:rsidRDefault="00B1634A" w:rsidP="00D91A3D">
      <w:pPr>
        <w:spacing w:line="480" w:lineRule="auto"/>
        <w:rPr>
          <w:rFonts w:cs="Arial"/>
          <w:color w:val="262626"/>
        </w:rPr>
      </w:pPr>
    </w:p>
    <w:p w14:paraId="1E8D8D74" w14:textId="3DE0B8B6" w:rsidR="00D91A3D" w:rsidRPr="00D91A3D" w:rsidRDefault="00D91A3D" w:rsidP="0016439F">
      <w:pPr>
        <w:rPr>
          <w:b/>
          <w:sz w:val="20"/>
          <w:szCs w:val="20"/>
        </w:rPr>
      </w:pPr>
      <w:r w:rsidRPr="00D91A3D">
        <w:rPr>
          <w:rFonts w:cs="Arial"/>
          <w:b/>
          <w:color w:val="262626"/>
        </w:rPr>
        <w:lastRenderedPageBreak/>
        <w:t xml:space="preserve">APPENDIX </w:t>
      </w:r>
      <w:r w:rsidR="00674DFF">
        <w:rPr>
          <w:rFonts w:cs="Arial"/>
          <w:b/>
          <w:color w:val="262626"/>
        </w:rPr>
        <w:t>II</w:t>
      </w:r>
      <w:r>
        <w:rPr>
          <w:rFonts w:cs="Arial"/>
          <w:b/>
          <w:color w:val="262626"/>
        </w:rPr>
        <w:t xml:space="preserve"> - </w:t>
      </w:r>
      <w:r w:rsidRPr="00D91A3D">
        <w:rPr>
          <w:b/>
        </w:rPr>
        <w:t>TIMELINE OF SIGNIFICANT GKM-RELATED EVENT</w:t>
      </w:r>
      <w:r>
        <w:rPr>
          <w:b/>
        </w:rPr>
        <w:t>S</w:t>
      </w:r>
    </w:p>
    <w:tbl>
      <w:tblPr>
        <w:tblStyle w:val="TableGrid"/>
        <w:tblpPr w:leftFromText="180" w:rightFromText="180" w:horzAnchor="margin" w:tblpY="549"/>
        <w:tblW w:w="0" w:type="auto"/>
        <w:tblLook w:val="04A0" w:firstRow="1" w:lastRow="0" w:firstColumn="1" w:lastColumn="0" w:noHBand="0" w:noVBand="1"/>
      </w:tblPr>
      <w:tblGrid>
        <w:gridCol w:w="1165"/>
        <w:gridCol w:w="2880"/>
        <w:gridCol w:w="5305"/>
      </w:tblGrid>
      <w:tr w:rsidR="00D91A3D" w14:paraId="2184FB16" w14:textId="77777777" w:rsidTr="007340F5">
        <w:tc>
          <w:tcPr>
            <w:tcW w:w="1165" w:type="dxa"/>
            <w:tcBorders>
              <w:bottom w:val="single" w:sz="4" w:space="0" w:color="auto"/>
            </w:tcBorders>
          </w:tcPr>
          <w:p w14:paraId="31B333F6" w14:textId="77777777" w:rsidR="00D91A3D" w:rsidRPr="00422387" w:rsidRDefault="00D91A3D" w:rsidP="007340F5">
            <w:pPr>
              <w:jc w:val="center"/>
              <w:rPr>
                <w:b/>
                <w:sz w:val="20"/>
                <w:szCs w:val="20"/>
              </w:rPr>
            </w:pPr>
            <w:r>
              <w:rPr>
                <w:b/>
                <w:sz w:val="20"/>
                <w:szCs w:val="20"/>
              </w:rPr>
              <w:t>YEAR</w:t>
            </w:r>
          </w:p>
        </w:tc>
        <w:tc>
          <w:tcPr>
            <w:tcW w:w="2880" w:type="dxa"/>
            <w:tcBorders>
              <w:bottom w:val="single" w:sz="4" w:space="0" w:color="auto"/>
            </w:tcBorders>
          </w:tcPr>
          <w:p w14:paraId="42DD288D" w14:textId="77777777" w:rsidR="00D91A3D" w:rsidRPr="00422387" w:rsidRDefault="00D91A3D" w:rsidP="007340F5">
            <w:pPr>
              <w:jc w:val="center"/>
              <w:rPr>
                <w:b/>
                <w:sz w:val="20"/>
                <w:szCs w:val="20"/>
              </w:rPr>
            </w:pPr>
            <w:r>
              <w:rPr>
                <w:b/>
                <w:sz w:val="20"/>
                <w:szCs w:val="20"/>
              </w:rPr>
              <w:t>EVENT</w:t>
            </w:r>
          </w:p>
        </w:tc>
        <w:tc>
          <w:tcPr>
            <w:tcW w:w="5305" w:type="dxa"/>
            <w:tcBorders>
              <w:bottom w:val="single" w:sz="4" w:space="0" w:color="auto"/>
            </w:tcBorders>
          </w:tcPr>
          <w:p w14:paraId="39698E4D" w14:textId="77777777" w:rsidR="00D91A3D" w:rsidRPr="00422387" w:rsidRDefault="00D91A3D" w:rsidP="007340F5">
            <w:pPr>
              <w:jc w:val="center"/>
              <w:rPr>
                <w:b/>
                <w:sz w:val="20"/>
                <w:szCs w:val="20"/>
              </w:rPr>
            </w:pPr>
            <w:r w:rsidRPr="00422387">
              <w:rPr>
                <w:b/>
                <w:sz w:val="20"/>
                <w:szCs w:val="20"/>
              </w:rPr>
              <w:t xml:space="preserve">DESCRIPTION </w:t>
            </w:r>
          </w:p>
        </w:tc>
      </w:tr>
      <w:tr w:rsidR="00D91A3D" w14:paraId="11153EC9" w14:textId="77777777" w:rsidTr="007340F5">
        <w:tc>
          <w:tcPr>
            <w:tcW w:w="1165" w:type="dxa"/>
            <w:shd w:val="clear" w:color="auto" w:fill="7F7F7F" w:themeFill="text1" w:themeFillTint="80"/>
          </w:tcPr>
          <w:p w14:paraId="05A1500A" w14:textId="77777777" w:rsidR="00D91A3D" w:rsidRPr="00BD30EE" w:rsidRDefault="00D91A3D" w:rsidP="007340F5">
            <w:pPr>
              <w:jc w:val="center"/>
              <w:rPr>
                <w:b/>
                <w:sz w:val="16"/>
                <w:szCs w:val="16"/>
              </w:rPr>
            </w:pPr>
          </w:p>
        </w:tc>
        <w:tc>
          <w:tcPr>
            <w:tcW w:w="2880" w:type="dxa"/>
            <w:shd w:val="clear" w:color="auto" w:fill="7F7F7F" w:themeFill="text1" w:themeFillTint="80"/>
          </w:tcPr>
          <w:p w14:paraId="18884955" w14:textId="77777777" w:rsidR="00D91A3D" w:rsidRPr="00BD30EE" w:rsidRDefault="00D91A3D" w:rsidP="007340F5">
            <w:pPr>
              <w:jc w:val="center"/>
              <w:rPr>
                <w:b/>
                <w:sz w:val="16"/>
                <w:szCs w:val="16"/>
              </w:rPr>
            </w:pPr>
          </w:p>
        </w:tc>
        <w:tc>
          <w:tcPr>
            <w:tcW w:w="5305" w:type="dxa"/>
            <w:shd w:val="clear" w:color="auto" w:fill="7F7F7F" w:themeFill="text1" w:themeFillTint="80"/>
          </w:tcPr>
          <w:p w14:paraId="3F71F01C" w14:textId="77777777" w:rsidR="00D91A3D" w:rsidRPr="00BD30EE" w:rsidRDefault="00D91A3D" w:rsidP="007340F5">
            <w:pPr>
              <w:jc w:val="center"/>
              <w:rPr>
                <w:b/>
                <w:sz w:val="16"/>
                <w:szCs w:val="16"/>
              </w:rPr>
            </w:pPr>
          </w:p>
        </w:tc>
      </w:tr>
      <w:tr w:rsidR="00D91A3D" w14:paraId="5CF4628A" w14:textId="77777777" w:rsidTr="007340F5">
        <w:tc>
          <w:tcPr>
            <w:tcW w:w="1165" w:type="dxa"/>
          </w:tcPr>
          <w:p w14:paraId="77166BF9" w14:textId="77777777" w:rsidR="00D91A3D" w:rsidRPr="00422387" w:rsidRDefault="00D91A3D" w:rsidP="007340F5">
            <w:pPr>
              <w:jc w:val="center"/>
              <w:rPr>
                <w:sz w:val="20"/>
                <w:szCs w:val="20"/>
              </w:rPr>
            </w:pPr>
            <w:r>
              <w:rPr>
                <w:sz w:val="20"/>
                <w:szCs w:val="20"/>
              </w:rPr>
              <w:t>1860</w:t>
            </w:r>
          </w:p>
        </w:tc>
        <w:tc>
          <w:tcPr>
            <w:tcW w:w="2880" w:type="dxa"/>
          </w:tcPr>
          <w:p w14:paraId="3239302F" w14:textId="77777777" w:rsidR="00D91A3D" w:rsidRPr="00422387" w:rsidRDefault="00D91A3D" w:rsidP="007340F5">
            <w:pPr>
              <w:rPr>
                <w:sz w:val="20"/>
                <w:szCs w:val="20"/>
              </w:rPr>
            </w:pPr>
            <w:r>
              <w:rPr>
                <w:sz w:val="20"/>
                <w:szCs w:val="20"/>
              </w:rPr>
              <w:t>Baker Party arrives in Upper Animas watershed</w:t>
            </w:r>
          </w:p>
        </w:tc>
        <w:tc>
          <w:tcPr>
            <w:tcW w:w="5305" w:type="dxa"/>
          </w:tcPr>
          <w:p w14:paraId="56FA574F" w14:textId="77777777" w:rsidR="00D91A3D" w:rsidRPr="00422387" w:rsidRDefault="00D91A3D" w:rsidP="007340F5">
            <w:pPr>
              <w:rPr>
                <w:sz w:val="20"/>
                <w:szCs w:val="20"/>
              </w:rPr>
            </w:pPr>
            <w:r>
              <w:rPr>
                <w:sz w:val="20"/>
                <w:szCs w:val="20"/>
              </w:rPr>
              <w:t>Discovery of gold and silver deposits in Baker’s Park area near present-day Silverton.</w:t>
            </w:r>
          </w:p>
        </w:tc>
      </w:tr>
      <w:tr w:rsidR="00D91A3D" w14:paraId="674CC6B7" w14:textId="77777777" w:rsidTr="007340F5">
        <w:tc>
          <w:tcPr>
            <w:tcW w:w="1165" w:type="dxa"/>
          </w:tcPr>
          <w:p w14:paraId="2675371A" w14:textId="77777777" w:rsidR="00D91A3D" w:rsidRDefault="00D91A3D" w:rsidP="007340F5">
            <w:pPr>
              <w:jc w:val="center"/>
              <w:rPr>
                <w:sz w:val="20"/>
                <w:szCs w:val="20"/>
              </w:rPr>
            </w:pPr>
            <w:r>
              <w:rPr>
                <w:sz w:val="20"/>
                <w:szCs w:val="20"/>
              </w:rPr>
              <w:t>1860-1861</w:t>
            </w:r>
          </w:p>
        </w:tc>
        <w:tc>
          <w:tcPr>
            <w:tcW w:w="2880" w:type="dxa"/>
          </w:tcPr>
          <w:p w14:paraId="79CFBAA8" w14:textId="77777777" w:rsidR="00D91A3D" w:rsidRDefault="00D91A3D" w:rsidP="007340F5">
            <w:pPr>
              <w:rPr>
                <w:sz w:val="20"/>
                <w:szCs w:val="20"/>
              </w:rPr>
            </w:pPr>
            <w:r>
              <w:rPr>
                <w:sz w:val="20"/>
                <w:szCs w:val="20"/>
              </w:rPr>
              <w:t>Animas City established</w:t>
            </w:r>
          </w:p>
        </w:tc>
        <w:tc>
          <w:tcPr>
            <w:tcW w:w="5305" w:type="dxa"/>
          </w:tcPr>
          <w:p w14:paraId="3138B38C" w14:textId="77777777" w:rsidR="00D91A3D" w:rsidRDefault="00D91A3D" w:rsidP="007340F5">
            <w:pPr>
              <w:rPr>
                <w:sz w:val="20"/>
                <w:szCs w:val="20"/>
              </w:rPr>
            </w:pPr>
            <w:r>
              <w:rPr>
                <w:sz w:val="20"/>
                <w:szCs w:val="20"/>
              </w:rPr>
              <w:t>Becomes first trading hub in Lower Animas River valley.</w:t>
            </w:r>
          </w:p>
        </w:tc>
      </w:tr>
      <w:tr w:rsidR="00D91A3D" w14:paraId="3A6D2184" w14:textId="77777777" w:rsidTr="007340F5">
        <w:tc>
          <w:tcPr>
            <w:tcW w:w="1165" w:type="dxa"/>
          </w:tcPr>
          <w:p w14:paraId="077057EA" w14:textId="77777777" w:rsidR="00D91A3D" w:rsidRPr="00422387" w:rsidRDefault="00D91A3D" w:rsidP="007340F5">
            <w:pPr>
              <w:jc w:val="center"/>
              <w:rPr>
                <w:sz w:val="20"/>
                <w:szCs w:val="20"/>
              </w:rPr>
            </w:pPr>
            <w:r>
              <w:rPr>
                <w:sz w:val="20"/>
                <w:szCs w:val="20"/>
              </w:rPr>
              <w:t>1873</w:t>
            </w:r>
          </w:p>
        </w:tc>
        <w:tc>
          <w:tcPr>
            <w:tcW w:w="2880" w:type="dxa"/>
          </w:tcPr>
          <w:p w14:paraId="7BE96207" w14:textId="77777777" w:rsidR="00D91A3D" w:rsidRPr="00422387" w:rsidRDefault="00D91A3D" w:rsidP="007340F5">
            <w:pPr>
              <w:rPr>
                <w:sz w:val="20"/>
                <w:szCs w:val="20"/>
              </w:rPr>
            </w:pPr>
            <w:r>
              <w:rPr>
                <w:sz w:val="20"/>
                <w:szCs w:val="20"/>
              </w:rPr>
              <w:t>Brunot Treaty</w:t>
            </w:r>
          </w:p>
        </w:tc>
        <w:tc>
          <w:tcPr>
            <w:tcW w:w="5305" w:type="dxa"/>
          </w:tcPr>
          <w:p w14:paraId="4362A552" w14:textId="77777777" w:rsidR="00D91A3D" w:rsidRPr="00422387" w:rsidRDefault="00D91A3D" w:rsidP="007340F5">
            <w:pPr>
              <w:rPr>
                <w:sz w:val="20"/>
                <w:szCs w:val="20"/>
              </w:rPr>
            </w:pPr>
            <w:r>
              <w:rPr>
                <w:sz w:val="20"/>
                <w:szCs w:val="20"/>
              </w:rPr>
              <w:t xml:space="preserve">U.S. assumes control of 4-million acres from Utes. </w:t>
            </w:r>
          </w:p>
        </w:tc>
      </w:tr>
      <w:tr w:rsidR="00D91A3D" w14:paraId="275FA09C" w14:textId="77777777" w:rsidTr="007340F5">
        <w:tc>
          <w:tcPr>
            <w:tcW w:w="1165" w:type="dxa"/>
          </w:tcPr>
          <w:p w14:paraId="07AB9FEB" w14:textId="77777777" w:rsidR="00D91A3D" w:rsidRPr="00422387" w:rsidRDefault="00D91A3D" w:rsidP="007340F5">
            <w:pPr>
              <w:jc w:val="center"/>
              <w:rPr>
                <w:sz w:val="20"/>
                <w:szCs w:val="20"/>
              </w:rPr>
            </w:pPr>
            <w:r>
              <w:rPr>
                <w:sz w:val="20"/>
                <w:szCs w:val="20"/>
              </w:rPr>
              <w:t>1874</w:t>
            </w:r>
          </w:p>
        </w:tc>
        <w:tc>
          <w:tcPr>
            <w:tcW w:w="2880" w:type="dxa"/>
          </w:tcPr>
          <w:p w14:paraId="5E22C17A" w14:textId="77777777" w:rsidR="00D91A3D" w:rsidRPr="00422387" w:rsidRDefault="00D91A3D" w:rsidP="007340F5">
            <w:pPr>
              <w:rPr>
                <w:sz w:val="20"/>
                <w:szCs w:val="20"/>
              </w:rPr>
            </w:pPr>
            <w:r>
              <w:rPr>
                <w:sz w:val="20"/>
                <w:szCs w:val="20"/>
              </w:rPr>
              <w:t>First mining rush; Sunnyside Mine patented</w:t>
            </w:r>
          </w:p>
        </w:tc>
        <w:tc>
          <w:tcPr>
            <w:tcW w:w="5305" w:type="dxa"/>
          </w:tcPr>
          <w:p w14:paraId="76654D9E" w14:textId="77777777" w:rsidR="00D91A3D" w:rsidRPr="00422387" w:rsidRDefault="00D91A3D" w:rsidP="007340F5">
            <w:pPr>
              <w:rPr>
                <w:sz w:val="20"/>
                <w:szCs w:val="20"/>
              </w:rPr>
            </w:pPr>
            <w:r>
              <w:rPr>
                <w:sz w:val="20"/>
                <w:szCs w:val="20"/>
              </w:rPr>
              <w:t>An estimated 2,000 prospectors establish some-1,000 mining claims in Baker’s Park area.</w:t>
            </w:r>
          </w:p>
        </w:tc>
      </w:tr>
      <w:tr w:rsidR="00D91A3D" w14:paraId="42BC4B1C" w14:textId="77777777" w:rsidTr="007340F5">
        <w:tc>
          <w:tcPr>
            <w:tcW w:w="1165" w:type="dxa"/>
          </w:tcPr>
          <w:p w14:paraId="1AA13E0A" w14:textId="77777777" w:rsidR="00D91A3D" w:rsidRDefault="00D91A3D" w:rsidP="007340F5">
            <w:pPr>
              <w:jc w:val="center"/>
              <w:rPr>
                <w:sz w:val="20"/>
                <w:szCs w:val="20"/>
              </w:rPr>
            </w:pPr>
            <w:r>
              <w:rPr>
                <w:sz w:val="20"/>
                <w:szCs w:val="20"/>
              </w:rPr>
              <w:t>1876</w:t>
            </w:r>
          </w:p>
        </w:tc>
        <w:tc>
          <w:tcPr>
            <w:tcW w:w="2880" w:type="dxa"/>
          </w:tcPr>
          <w:p w14:paraId="36D5D668" w14:textId="77777777" w:rsidR="00D91A3D" w:rsidRDefault="00D91A3D" w:rsidP="007340F5">
            <w:pPr>
              <w:rPr>
                <w:sz w:val="20"/>
                <w:szCs w:val="20"/>
              </w:rPr>
            </w:pPr>
            <w:r>
              <w:rPr>
                <w:sz w:val="20"/>
                <w:szCs w:val="20"/>
              </w:rPr>
              <w:t>Colorado statehood; Town of Silverton incorporated</w:t>
            </w:r>
          </w:p>
        </w:tc>
        <w:tc>
          <w:tcPr>
            <w:tcW w:w="5305" w:type="dxa"/>
          </w:tcPr>
          <w:p w14:paraId="448F2647" w14:textId="77777777" w:rsidR="00D91A3D" w:rsidRDefault="00D91A3D" w:rsidP="007340F5">
            <w:pPr>
              <w:rPr>
                <w:sz w:val="20"/>
                <w:szCs w:val="20"/>
              </w:rPr>
            </w:pPr>
            <w:r>
              <w:rPr>
                <w:sz w:val="20"/>
                <w:szCs w:val="20"/>
              </w:rPr>
              <w:t>Silverton poised to become mining hub of San Juan County.</w:t>
            </w:r>
          </w:p>
        </w:tc>
      </w:tr>
      <w:tr w:rsidR="00D91A3D" w14:paraId="7C891DA2" w14:textId="77777777" w:rsidTr="007340F5">
        <w:tc>
          <w:tcPr>
            <w:tcW w:w="1165" w:type="dxa"/>
          </w:tcPr>
          <w:p w14:paraId="4C9A386E" w14:textId="77777777" w:rsidR="00D91A3D" w:rsidRDefault="00D91A3D" w:rsidP="007340F5">
            <w:pPr>
              <w:jc w:val="center"/>
              <w:rPr>
                <w:sz w:val="20"/>
                <w:szCs w:val="20"/>
              </w:rPr>
            </w:pPr>
          </w:p>
          <w:p w14:paraId="5373A3D5" w14:textId="77777777" w:rsidR="00D91A3D" w:rsidRPr="00422387" w:rsidRDefault="00D91A3D" w:rsidP="007340F5">
            <w:pPr>
              <w:jc w:val="center"/>
              <w:rPr>
                <w:sz w:val="20"/>
                <w:szCs w:val="20"/>
              </w:rPr>
            </w:pPr>
            <w:r>
              <w:rPr>
                <w:sz w:val="20"/>
                <w:szCs w:val="20"/>
              </w:rPr>
              <w:t>1877</w:t>
            </w:r>
          </w:p>
        </w:tc>
        <w:tc>
          <w:tcPr>
            <w:tcW w:w="2880" w:type="dxa"/>
          </w:tcPr>
          <w:p w14:paraId="16611459" w14:textId="77777777" w:rsidR="00D91A3D" w:rsidRPr="00422387" w:rsidRDefault="00D91A3D" w:rsidP="007340F5">
            <w:pPr>
              <w:rPr>
                <w:sz w:val="20"/>
                <w:szCs w:val="20"/>
              </w:rPr>
            </w:pPr>
            <w:r>
              <w:rPr>
                <w:sz w:val="20"/>
                <w:szCs w:val="20"/>
              </w:rPr>
              <w:t>Animas Canyon Toll Road completed, linking Silverton to Lower Animas Valley</w:t>
            </w:r>
          </w:p>
        </w:tc>
        <w:tc>
          <w:tcPr>
            <w:tcW w:w="5305" w:type="dxa"/>
          </w:tcPr>
          <w:p w14:paraId="25565860" w14:textId="77777777" w:rsidR="00D91A3D" w:rsidRPr="00422387" w:rsidRDefault="00D91A3D" w:rsidP="007340F5">
            <w:pPr>
              <w:rPr>
                <w:sz w:val="20"/>
                <w:szCs w:val="20"/>
              </w:rPr>
            </w:pPr>
            <w:r>
              <w:rPr>
                <w:sz w:val="20"/>
                <w:szCs w:val="20"/>
              </w:rPr>
              <w:t>Increased delivery of supplies and materials to miners in Silverton-area; transport of ores to Animas City (eventually Durango).</w:t>
            </w:r>
          </w:p>
        </w:tc>
      </w:tr>
      <w:tr w:rsidR="00D91A3D" w14:paraId="7DF7AF3A" w14:textId="77777777" w:rsidTr="007340F5">
        <w:tc>
          <w:tcPr>
            <w:tcW w:w="1165" w:type="dxa"/>
          </w:tcPr>
          <w:p w14:paraId="3342C9FC" w14:textId="77777777" w:rsidR="00D91A3D" w:rsidRDefault="00D91A3D" w:rsidP="007340F5">
            <w:pPr>
              <w:jc w:val="center"/>
              <w:rPr>
                <w:sz w:val="20"/>
                <w:szCs w:val="20"/>
              </w:rPr>
            </w:pPr>
            <w:r>
              <w:rPr>
                <w:sz w:val="20"/>
                <w:szCs w:val="20"/>
              </w:rPr>
              <w:t>1880</w:t>
            </w:r>
          </w:p>
        </w:tc>
        <w:tc>
          <w:tcPr>
            <w:tcW w:w="2880" w:type="dxa"/>
          </w:tcPr>
          <w:p w14:paraId="244BA563" w14:textId="77777777" w:rsidR="00D91A3D" w:rsidRDefault="00D91A3D" w:rsidP="007340F5">
            <w:pPr>
              <w:rPr>
                <w:sz w:val="20"/>
                <w:szCs w:val="20"/>
              </w:rPr>
            </w:pPr>
            <w:r>
              <w:rPr>
                <w:sz w:val="20"/>
                <w:szCs w:val="20"/>
              </w:rPr>
              <w:t>Durango incorporated</w:t>
            </w:r>
          </w:p>
        </w:tc>
        <w:tc>
          <w:tcPr>
            <w:tcW w:w="5305" w:type="dxa"/>
          </w:tcPr>
          <w:p w14:paraId="05147C78" w14:textId="77777777" w:rsidR="00D91A3D" w:rsidRDefault="00D91A3D" w:rsidP="007340F5">
            <w:pPr>
              <w:rPr>
                <w:sz w:val="20"/>
                <w:szCs w:val="20"/>
              </w:rPr>
            </w:pPr>
            <w:r>
              <w:rPr>
                <w:sz w:val="20"/>
                <w:szCs w:val="20"/>
              </w:rPr>
              <w:t>Durango will subsume Animas City by 1940s.</w:t>
            </w:r>
          </w:p>
        </w:tc>
      </w:tr>
      <w:tr w:rsidR="00D91A3D" w14:paraId="27D35A3E" w14:textId="77777777" w:rsidTr="007340F5">
        <w:tc>
          <w:tcPr>
            <w:tcW w:w="1165" w:type="dxa"/>
          </w:tcPr>
          <w:p w14:paraId="220A47A6" w14:textId="77777777" w:rsidR="00D91A3D" w:rsidRDefault="00D91A3D" w:rsidP="007340F5">
            <w:pPr>
              <w:jc w:val="center"/>
              <w:rPr>
                <w:sz w:val="20"/>
                <w:szCs w:val="20"/>
              </w:rPr>
            </w:pPr>
            <w:r>
              <w:rPr>
                <w:sz w:val="20"/>
                <w:szCs w:val="20"/>
              </w:rPr>
              <w:t>1881</w:t>
            </w:r>
          </w:p>
        </w:tc>
        <w:tc>
          <w:tcPr>
            <w:tcW w:w="2880" w:type="dxa"/>
          </w:tcPr>
          <w:p w14:paraId="7F6B5D47" w14:textId="77777777" w:rsidR="00D91A3D" w:rsidRDefault="00D91A3D" w:rsidP="007340F5">
            <w:pPr>
              <w:rPr>
                <w:sz w:val="20"/>
                <w:szCs w:val="20"/>
              </w:rPr>
            </w:pPr>
            <w:r>
              <w:rPr>
                <w:sz w:val="20"/>
                <w:szCs w:val="20"/>
              </w:rPr>
              <w:t>Denver &amp; Rio Grande Railroad reaches present-day Durango.</w:t>
            </w:r>
          </w:p>
        </w:tc>
        <w:tc>
          <w:tcPr>
            <w:tcW w:w="5305" w:type="dxa"/>
          </w:tcPr>
          <w:p w14:paraId="54E672EA" w14:textId="77777777" w:rsidR="00D91A3D" w:rsidRDefault="00D91A3D" w:rsidP="007340F5">
            <w:pPr>
              <w:rPr>
                <w:sz w:val="20"/>
                <w:szCs w:val="20"/>
              </w:rPr>
            </w:pPr>
            <w:r>
              <w:rPr>
                <w:sz w:val="20"/>
                <w:szCs w:val="20"/>
              </w:rPr>
              <w:t>Animas City (later Durango) established as regional hub.</w:t>
            </w:r>
          </w:p>
        </w:tc>
      </w:tr>
      <w:tr w:rsidR="00D91A3D" w14:paraId="67DF554B" w14:textId="77777777" w:rsidTr="007340F5">
        <w:tc>
          <w:tcPr>
            <w:tcW w:w="1165" w:type="dxa"/>
          </w:tcPr>
          <w:p w14:paraId="7239D131" w14:textId="77777777" w:rsidR="00D91A3D" w:rsidRPr="00422387" w:rsidRDefault="00D91A3D" w:rsidP="007340F5">
            <w:pPr>
              <w:jc w:val="center"/>
              <w:rPr>
                <w:sz w:val="20"/>
                <w:szCs w:val="20"/>
              </w:rPr>
            </w:pPr>
            <w:r>
              <w:rPr>
                <w:sz w:val="20"/>
                <w:szCs w:val="20"/>
              </w:rPr>
              <w:t>1882</w:t>
            </w:r>
          </w:p>
        </w:tc>
        <w:tc>
          <w:tcPr>
            <w:tcW w:w="2880" w:type="dxa"/>
          </w:tcPr>
          <w:p w14:paraId="2F1B2862" w14:textId="77777777" w:rsidR="00D91A3D" w:rsidRPr="00422387" w:rsidRDefault="00D91A3D" w:rsidP="007340F5">
            <w:pPr>
              <w:rPr>
                <w:sz w:val="20"/>
                <w:szCs w:val="20"/>
              </w:rPr>
            </w:pPr>
            <w:r>
              <w:rPr>
                <w:sz w:val="20"/>
                <w:szCs w:val="20"/>
              </w:rPr>
              <w:t>Railroad reaches Silverton</w:t>
            </w:r>
          </w:p>
        </w:tc>
        <w:tc>
          <w:tcPr>
            <w:tcW w:w="5305" w:type="dxa"/>
          </w:tcPr>
          <w:p w14:paraId="3FE8FA83" w14:textId="77777777" w:rsidR="00D91A3D" w:rsidRPr="00D85669" w:rsidRDefault="00D91A3D" w:rsidP="007340F5">
            <w:pPr>
              <w:rPr>
                <w:sz w:val="20"/>
                <w:szCs w:val="20"/>
              </w:rPr>
            </w:pPr>
            <w:r>
              <w:rPr>
                <w:rFonts w:eastAsia="Times New Roman" w:cs="Times New Roman"/>
                <w:sz w:val="20"/>
                <w:szCs w:val="20"/>
                <w:shd w:val="clear" w:color="auto" w:fill="FFFFFF"/>
              </w:rPr>
              <w:t>R</w:t>
            </w:r>
            <w:r w:rsidRPr="00D85669">
              <w:rPr>
                <w:rFonts w:eastAsia="Times New Roman" w:cs="Times New Roman"/>
                <w:sz w:val="20"/>
                <w:szCs w:val="20"/>
                <w:shd w:val="clear" w:color="auto" w:fill="FFFFFF"/>
              </w:rPr>
              <w:t>ail linkage</w:t>
            </w:r>
            <w:r>
              <w:rPr>
                <w:rFonts w:eastAsia="Times New Roman" w:cs="Times New Roman"/>
                <w:sz w:val="20"/>
                <w:szCs w:val="20"/>
                <w:shd w:val="clear" w:color="auto" w:fill="FFFFFF"/>
              </w:rPr>
              <w:t xml:space="preserve"> provides</w:t>
            </w:r>
            <w:r w:rsidRPr="00D85669">
              <w:rPr>
                <w:rFonts w:eastAsia="Times New Roman" w:cs="Times New Roman"/>
                <w:sz w:val="20"/>
                <w:szCs w:val="20"/>
                <w:shd w:val="clear" w:color="auto" w:fill="FFFFFF"/>
              </w:rPr>
              <w:t xml:space="preserve"> foundation </w:t>
            </w:r>
            <w:r>
              <w:rPr>
                <w:rFonts w:eastAsia="Times New Roman" w:cs="Times New Roman"/>
                <w:sz w:val="20"/>
                <w:szCs w:val="20"/>
                <w:shd w:val="clear" w:color="auto" w:fill="FFFFFF"/>
              </w:rPr>
              <w:t>for growth.</w:t>
            </w:r>
          </w:p>
        </w:tc>
      </w:tr>
      <w:tr w:rsidR="00D91A3D" w14:paraId="3287DCFD" w14:textId="77777777" w:rsidTr="007340F5">
        <w:tc>
          <w:tcPr>
            <w:tcW w:w="1165" w:type="dxa"/>
          </w:tcPr>
          <w:p w14:paraId="7DD8190D" w14:textId="77777777" w:rsidR="00D91A3D" w:rsidRPr="00422387" w:rsidRDefault="00D91A3D" w:rsidP="007340F5">
            <w:pPr>
              <w:jc w:val="center"/>
              <w:rPr>
                <w:sz w:val="20"/>
                <w:szCs w:val="20"/>
              </w:rPr>
            </w:pPr>
            <w:r>
              <w:rPr>
                <w:sz w:val="20"/>
                <w:szCs w:val="20"/>
              </w:rPr>
              <w:t>1887</w:t>
            </w:r>
          </w:p>
        </w:tc>
        <w:tc>
          <w:tcPr>
            <w:tcW w:w="2880" w:type="dxa"/>
          </w:tcPr>
          <w:p w14:paraId="6645FCC2" w14:textId="77777777" w:rsidR="00D91A3D" w:rsidRPr="00422387" w:rsidRDefault="00D91A3D" w:rsidP="007340F5">
            <w:pPr>
              <w:rPr>
                <w:sz w:val="20"/>
                <w:szCs w:val="20"/>
              </w:rPr>
            </w:pPr>
            <w:r>
              <w:rPr>
                <w:sz w:val="20"/>
                <w:szCs w:val="20"/>
              </w:rPr>
              <w:t>Gold King Mine (GKM) established</w:t>
            </w:r>
          </w:p>
        </w:tc>
        <w:tc>
          <w:tcPr>
            <w:tcW w:w="5305" w:type="dxa"/>
          </w:tcPr>
          <w:p w14:paraId="25FE9431" w14:textId="77777777" w:rsidR="00D91A3D" w:rsidRPr="00422387" w:rsidRDefault="00D91A3D" w:rsidP="007340F5">
            <w:pPr>
              <w:rPr>
                <w:sz w:val="20"/>
                <w:szCs w:val="20"/>
              </w:rPr>
            </w:pPr>
            <w:r>
              <w:rPr>
                <w:sz w:val="20"/>
                <w:szCs w:val="20"/>
              </w:rPr>
              <w:t>Olaf Nelson stakes claim; never becomes rich; dies 4-years later of pneumonia.</w:t>
            </w:r>
          </w:p>
        </w:tc>
      </w:tr>
      <w:tr w:rsidR="00D91A3D" w14:paraId="76F40D30" w14:textId="77777777" w:rsidTr="007340F5">
        <w:tc>
          <w:tcPr>
            <w:tcW w:w="1165" w:type="dxa"/>
          </w:tcPr>
          <w:p w14:paraId="2135B0CD" w14:textId="77777777" w:rsidR="00D91A3D" w:rsidRDefault="00D91A3D" w:rsidP="007340F5">
            <w:pPr>
              <w:jc w:val="center"/>
              <w:rPr>
                <w:sz w:val="20"/>
                <w:szCs w:val="20"/>
              </w:rPr>
            </w:pPr>
            <w:r>
              <w:rPr>
                <w:sz w:val="20"/>
                <w:szCs w:val="20"/>
              </w:rPr>
              <w:t>1890-1920</w:t>
            </w:r>
          </w:p>
        </w:tc>
        <w:tc>
          <w:tcPr>
            <w:tcW w:w="2880" w:type="dxa"/>
          </w:tcPr>
          <w:p w14:paraId="23CC689D" w14:textId="77777777" w:rsidR="00D91A3D" w:rsidRDefault="00D91A3D" w:rsidP="007340F5">
            <w:pPr>
              <w:rPr>
                <w:sz w:val="20"/>
                <w:szCs w:val="20"/>
              </w:rPr>
            </w:pPr>
            <w:r>
              <w:rPr>
                <w:sz w:val="20"/>
                <w:szCs w:val="20"/>
              </w:rPr>
              <w:t>Primary production era at GKM</w:t>
            </w:r>
          </w:p>
        </w:tc>
        <w:tc>
          <w:tcPr>
            <w:tcW w:w="5305" w:type="dxa"/>
          </w:tcPr>
          <w:p w14:paraId="73D61517" w14:textId="77777777" w:rsidR="00D91A3D" w:rsidRDefault="00D91A3D" w:rsidP="007340F5">
            <w:pPr>
              <w:rPr>
                <w:sz w:val="20"/>
                <w:szCs w:val="20"/>
              </w:rPr>
            </w:pPr>
            <w:r>
              <w:rPr>
                <w:sz w:val="20"/>
                <w:szCs w:val="20"/>
              </w:rPr>
              <w:t>665,000 tons of ore (silver, gold, lead, copper) produced.</w:t>
            </w:r>
          </w:p>
        </w:tc>
      </w:tr>
      <w:tr w:rsidR="00D91A3D" w14:paraId="544E5760" w14:textId="77777777" w:rsidTr="007340F5">
        <w:tc>
          <w:tcPr>
            <w:tcW w:w="1165" w:type="dxa"/>
            <w:tcBorders>
              <w:bottom w:val="single" w:sz="4" w:space="0" w:color="auto"/>
            </w:tcBorders>
          </w:tcPr>
          <w:p w14:paraId="0BAAD1C4" w14:textId="77777777" w:rsidR="00D91A3D" w:rsidRPr="00422387" w:rsidRDefault="00D91A3D" w:rsidP="007340F5">
            <w:pPr>
              <w:jc w:val="center"/>
              <w:rPr>
                <w:sz w:val="20"/>
                <w:szCs w:val="20"/>
              </w:rPr>
            </w:pPr>
            <w:r>
              <w:rPr>
                <w:sz w:val="20"/>
                <w:szCs w:val="20"/>
              </w:rPr>
              <w:t>1894</w:t>
            </w:r>
          </w:p>
        </w:tc>
        <w:tc>
          <w:tcPr>
            <w:tcW w:w="2880" w:type="dxa"/>
            <w:tcBorders>
              <w:bottom w:val="single" w:sz="4" w:space="0" w:color="auto"/>
            </w:tcBorders>
          </w:tcPr>
          <w:p w14:paraId="333E1243" w14:textId="77777777" w:rsidR="00D91A3D" w:rsidRPr="00422387" w:rsidRDefault="00D91A3D" w:rsidP="007340F5">
            <w:pPr>
              <w:rPr>
                <w:sz w:val="20"/>
                <w:szCs w:val="20"/>
              </w:rPr>
            </w:pPr>
            <w:r>
              <w:rPr>
                <w:sz w:val="20"/>
                <w:szCs w:val="20"/>
              </w:rPr>
              <w:t>GKM sold for $15,000</w:t>
            </w:r>
          </w:p>
        </w:tc>
        <w:tc>
          <w:tcPr>
            <w:tcW w:w="5305" w:type="dxa"/>
            <w:tcBorders>
              <w:bottom w:val="single" w:sz="4" w:space="0" w:color="auto"/>
            </w:tcBorders>
          </w:tcPr>
          <w:p w14:paraId="6F4F67CF" w14:textId="77777777" w:rsidR="00D91A3D" w:rsidRPr="00422387" w:rsidRDefault="00D91A3D" w:rsidP="007340F5">
            <w:pPr>
              <w:rPr>
                <w:sz w:val="20"/>
                <w:szCs w:val="20"/>
              </w:rPr>
            </w:pPr>
            <w:r>
              <w:rPr>
                <w:sz w:val="20"/>
                <w:szCs w:val="20"/>
              </w:rPr>
              <w:t>First of many changes in ownership.</w:t>
            </w:r>
          </w:p>
        </w:tc>
      </w:tr>
      <w:tr w:rsidR="00D91A3D" w:rsidRPr="00BD30EE" w14:paraId="496AD6D2" w14:textId="77777777" w:rsidTr="007340F5">
        <w:tc>
          <w:tcPr>
            <w:tcW w:w="1165" w:type="dxa"/>
            <w:shd w:val="clear" w:color="auto" w:fill="7F7F7F" w:themeFill="text1" w:themeFillTint="80"/>
          </w:tcPr>
          <w:p w14:paraId="5C7ADC5C" w14:textId="77777777" w:rsidR="00D91A3D" w:rsidRPr="00BD30EE" w:rsidRDefault="00D91A3D" w:rsidP="007340F5">
            <w:pPr>
              <w:jc w:val="center"/>
              <w:rPr>
                <w:sz w:val="16"/>
                <w:szCs w:val="16"/>
              </w:rPr>
            </w:pPr>
          </w:p>
        </w:tc>
        <w:tc>
          <w:tcPr>
            <w:tcW w:w="2880" w:type="dxa"/>
            <w:shd w:val="clear" w:color="auto" w:fill="7F7F7F" w:themeFill="text1" w:themeFillTint="80"/>
          </w:tcPr>
          <w:p w14:paraId="70649122" w14:textId="77777777" w:rsidR="00D91A3D" w:rsidRPr="00BD30EE" w:rsidRDefault="00D91A3D" w:rsidP="007340F5">
            <w:pPr>
              <w:rPr>
                <w:sz w:val="16"/>
                <w:szCs w:val="16"/>
              </w:rPr>
            </w:pPr>
          </w:p>
        </w:tc>
        <w:tc>
          <w:tcPr>
            <w:tcW w:w="5305" w:type="dxa"/>
            <w:shd w:val="clear" w:color="auto" w:fill="7F7F7F" w:themeFill="text1" w:themeFillTint="80"/>
          </w:tcPr>
          <w:p w14:paraId="5D20ABC7" w14:textId="77777777" w:rsidR="00D91A3D" w:rsidRPr="00BD30EE" w:rsidRDefault="00D91A3D" w:rsidP="007340F5">
            <w:pPr>
              <w:rPr>
                <w:sz w:val="16"/>
                <w:szCs w:val="16"/>
              </w:rPr>
            </w:pPr>
          </w:p>
        </w:tc>
      </w:tr>
      <w:tr w:rsidR="00D91A3D" w14:paraId="37821105" w14:textId="77777777" w:rsidTr="007340F5">
        <w:tc>
          <w:tcPr>
            <w:tcW w:w="1165" w:type="dxa"/>
          </w:tcPr>
          <w:p w14:paraId="22C014DA" w14:textId="77777777" w:rsidR="00D91A3D" w:rsidRPr="00422387" w:rsidRDefault="00D91A3D" w:rsidP="007340F5">
            <w:pPr>
              <w:rPr>
                <w:sz w:val="20"/>
                <w:szCs w:val="20"/>
              </w:rPr>
            </w:pPr>
            <w:r>
              <w:rPr>
                <w:sz w:val="20"/>
                <w:szCs w:val="20"/>
              </w:rPr>
              <w:t>early-1940s</w:t>
            </w:r>
          </w:p>
        </w:tc>
        <w:tc>
          <w:tcPr>
            <w:tcW w:w="2880" w:type="dxa"/>
          </w:tcPr>
          <w:p w14:paraId="3DECAB83" w14:textId="77777777" w:rsidR="00D91A3D" w:rsidRPr="00422387" w:rsidRDefault="00D91A3D" w:rsidP="007340F5">
            <w:pPr>
              <w:rPr>
                <w:sz w:val="20"/>
                <w:szCs w:val="20"/>
              </w:rPr>
            </w:pPr>
            <w:r>
              <w:rPr>
                <w:sz w:val="20"/>
                <w:szCs w:val="20"/>
              </w:rPr>
              <w:t>Uranium processing in Durango</w:t>
            </w:r>
          </w:p>
        </w:tc>
        <w:tc>
          <w:tcPr>
            <w:tcW w:w="5305" w:type="dxa"/>
          </w:tcPr>
          <w:p w14:paraId="3B7CA2E5" w14:textId="77777777" w:rsidR="00D91A3D" w:rsidRPr="00422387" w:rsidRDefault="00D91A3D" w:rsidP="007340F5">
            <w:pPr>
              <w:rPr>
                <w:sz w:val="20"/>
                <w:szCs w:val="20"/>
              </w:rPr>
            </w:pPr>
            <w:r>
              <w:rPr>
                <w:sz w:val="20"/>
                <w:szCs w:val="20"/>
              </w:rPr>
              <w:t>Uranium milled for Manhattan Project, atomic weapons.</w:t>
            </w:r>
          </w:p>
        </w:tc>
      </w:tr>
      <w:tr w:rsidR="00D91A3D" w14:paraId="4B073D45" w14:textId="77777777" w:rsidTr="007340F5">
        <w:tc>
          <w:tcPr>
            <w:tcW w:w="1165" w:type="dxa"/>
          </w:tcPr>
          <w:p w14:paraId="13D3C0E4" w14:textId="77777777" w:rsidR="00D91A3D" w:rsidRPr="00422387" w:rsidRDefault="00D91A3D" w:rsidP="007340F5">
            <w:pPr>
              <w:jc w:val="center"/>
              <w:rPr>
                <w:sz w:val="20"/>
                <w:szCs w:val="20"/>
              </w:rPr>
            </w:pPr>
            <w:r>
              <w:rPr>
                <w:sz w:val="20"/>
                <w:szCs w:val="20"/>
              </w:rPr>
              <w:t>1963</w:t>
            </w:r>
          </w:p>
        </w:tc>
        <w:tc>
          <w:tcPr>
            <w:tcW w:w="2880" w:type="dxa"/>
          </w:tcPr>
          <w:p w14:paraId="3D9B96A9" w14:textId="77777777" w:rsidR="00D91A3D" w:rsidRPr="00422387" w:rsidRDefault="00D91A3D" w:rsidP="007340F5">
            <w:pPr>
              <w:rPr>
                <w:sz w:val="20"/>
                <w:szCs w:val="20"/>
              </w:rPr>
            </w:pPr>
            <w:r>
              <w:rPr>
                <w:sz w:val="20"/>
                <w:szCs w:val="20"/>
              </w:rPr>
              <w:t>Uranium processing ends</w:t>
            </w:r>
          </w:p>
        </w:tc>
        <w:tc>
          <w:tcPr>
            <w:tcW w:w="5305" w:type="dxa"/>
          </w:tcPr>
          <w:p w14:paraId="14EFB534" w14:textId="77777777" w:rsidR="00D91A3D" w:rsidRPr="00422387" w:rsidRDefault="00D91A3D" w:rsidP="007340F5">
            <w:pPr>
              <w:rPr>
                <w:sz w:val="20"/>
                <w:szCs w:val="20"/>
              </w:rPr>
            </w:pPr>
            <w:r>
              <w:rPr>
                <w:sz w:val="20"/>
                <w:szCs w:val="20"/>
              </w:rPr>
              <w:t>Nearby lands and Animas severely contaminated.</w:t>
            </w:r>
          </w:p>
        </w:tc>
      </w:tr>
      <w:tr w:rsidR="00D91A3D" w14:paraId="7CE92DFA" w14:textId="77777777" w:rsidTr="007340F5">
        <w:tc>
          <w:tcPr>
            <w:tcW w:w="1165" w:type="dxa"/>
          </w:tcPr>
          <w:p w14:paraId="6FC64E70" w14:textId="77777777" w:rsidR="00D91A3D" w:rsidRDefault="00D91A3D" w:rsidP="007340F5">
            <w:pPr>
              <w:jc w:val="center"/>
              <w:rPr>
                <w:sz w:val="20"/>
                <w:szCs w:val="20"/>
              </w:rPr>
            </w:pPr>
            <w:r>
              <w:rPr>
                <w:sz w:val="20"/>
                <w:szCs w:val="20"/>
              </w:rPr>
              <w:t>1975</w:t>
            </w:r>
          </w:p>
        </w:tc>
        <w:tc>
          <w:tcPr>
            <w:tcW w:w="2880" w:type="dxa"/>
          </w:tcPr>
          <w:p w14:paraId="25BC1EBE" w14:textId="77777777" w:rsidR="00D91A3D" w:rsidRDefault="00D91A3D" w:rsidP="007340F5">
            <w:pPr>
              <w:rPr>
                <w:sz w:val="20"/>
                <w:szCs w:val="20"/>
              </w:rPr>
            </w:pPr>
            <w:r>
              <w:rPr>
                <w:sz w:val="20"/>
                <w:szCs w:val="20"/>
              </w:rPr>
              <w:t>Mine tailings spill in Silverton</w:t>
            </w:r>
          </w:p>
        </w:tc>
        <w:tc>
          <w:tcPr>
            <w:tcW w:w="5305" w:type="dxa"/>
          </w:tcPr>
          <w:p w14:paraId="3CF422D6" w14:textId="77777777" w:rsidR="00D91A3D" w:rsidRDefault="00D91A3D" w:rsidP="007340F5">
            <w:pPr>
              <w:rPr>
                <w:sz w:val="20"/>
                <w:szCs w:val="20"/>
              </w:rPr>
            </w:pPr>
            <w:r>
              <w:rPr>
                <w:sz w:val="20"/>
                <w:szCs w:val="20"/>
              </w:rPr>
              <w:t>Roughly 50,000 metric tons spilled into Animas River.</w:t>
            </w:r>
          </w:p>
        </w:tc>
      </w:tr>
      <w:tr w:rsidR="00D91A3D" w14:paraId="31427900" w14:textId="77777777" w:rsidTr="007340F5">
        <w:tc>
          <w:tcPr>
            <w:tcW w:w="1165" w:type="dxa"/>
          </w:tcPr>
          <w:p w14:paraId="1895BF8B" w14:textId="77777777" w:rsidR="00D91A3D" w:rsidRDefault="00D91A3D" w:rsidP="007340F5">
            <w:pPr>
              <w:jc w:val="center"/>
              <w:rPr>
                <w:sz w:val="20"/>
                <w:szCs w:val="20"/>
              </w:rPr>
            </w:pPr>
            <w:r>
              <w:rPr>
                <w:sz w:val="20"/>
                <w:szCs w:val="20"/>
              </w:rPr>
              <w:t>1985</w:t>
            </w:r>
          </w:p>
        </w:tc>
        <w:tc>
          <w:tcPr>
            <w:tcW w:w="2880" w:type="dxa"/>
          </w:tcPr>
          <w:p w14:paraId="43E1E461" w14:textId="77777777" w:rsidR="00D91A3D" w:rsidRDefault="00D91A3D" w:rsidP="007340F5">
            <w:pPr>
              <w:rPr>
                <w:sz w:val="20"/>
                <w:szCs w:val="20"/>
              </w:rPr>
            </w:pPr>
            <w:r>
              <w:rPr>
                <w:sz w:val="20"/>
                <w:szCs w:val="20"/>
              </w:rPr>
              <w:t>Lake Emma disaster</w:t>
            </w:r>
          </w:p>
        </w:tc>
        <w:tc>
          <w:tcPr>
            <w:tcW w:w="5305" w:type="dxa"/>
          </w:tcPr>
          <w:p w14:paraId="4C032F82" w14:textId="77777777" w:rsidR="00D91A3D" w:rsidRDefault="00D91A3D" w:rsidP="007340F5">
            <w:pPr>
              <w:rPr>
                <w:sz w:val="20"/>
                <w:szCs w:val="20"/>
              </w:rPr>
            </w:pPr>
            <w:r>
              <w:rPr>
                <w:sz w:val="20"/>
                <w:szCs w:val="20"/>
              </w:rPr>
              <w:t>Lake above Sunnyside Mine collapses into mine tunnels; some-500 million gallons flood mine, AMD blowout.</w:t>
            </w:r>
          </w:p>
        </w:tc>
      </w:tr>
      <w:tr w:rsidR="00D91A3D" w14:paraId="0C083CF9" w14:textId="77777777" w:rsidTr="007340F5">
        <w:tc>
          <w:tcPr>
            <w:tcW w:w="1165" w:type="dxa"/>
          </w:tcPr>
          <w:p w14:paraId="5E28C89E" w14:textId="77777777" w:rsidR="00D91A3D" w:rsidRPr="00422387" w:rsidRDefault="00D91A3D" w:rsidP="007340F5">
            <w:pPr>
              <w:jc w:val="center"/>
              <w:rPr>
                <w:sz w:val="20"/>
                <w:szCs w:val="20"/>
              </w:rPr>
            </w:pPr>
            <w:r>
              <w:rPr>
                <w:sz w:val="20"/>
                <w:szCs w:val="20"/>
              </w:rPr>
              <w:t>1985-1991</w:t>
            </w:r>
          </w:p>
        </w:tc>
        <w:tc>
          <w:tcPr>
            <w:tcW w:w="2880" w:type="dxa"/>
          </w:tcPr>
          <w:p w14:paraId="5DA54A83" w14:textId="77777777" w:rsidR="00D91A3D" w:rsidRPr="00422387" w:rsidRDefault="00D91A3D" w:rsidP="007340F5">
            <w:pPr>
              <w:rPr>
                <w:sz w:val="20"/>
                <w:szCs w:val="20"/>
              </w:rPr>
            </w:pPr>
            <w:r>
              <w:rPr>
                <w:sz w:val="20"/>
                <w:szCs w:val="20"/>
              </w:rPr>
              <w:t>Superfund cleanup (Durango)</w:t>
            </w:r>
          </w:p>
        </w:tc>
        <w:tc>
          <w:tcPr>
            <w:tcW w:w="5305" w:type="dxa"/>
          </w:tcPr>
          <w:p w14:paraId="292859C2" w14:textId="77777777" w:rsidR="00D91A3D" w:rsidRPr="00422387" w:rsidRDefault="00D91A3D" w:rsidP="007340F5">
            <w:pPr>
              <w:rPr>
                <w:sz w:val="20"/>
                <w:szCs w:val="20"/>
              </w:rPr>
            </w:pPr>
            <w:r>
              <w:rPr>
                <w:sz w:val="20"/>
                <w:szCs w:val="20"/>
              </w:rPr>
              <w:t>Site remediation and relocation of radioactive wastes.</w:t>
            </w:r>
          </w:p>
        </w:tc>
      </w:tr>
      <w:tr w:rsidR="00D91A3D" w14:paraId="2F886D6D" w14:textId="77777777" w:rsidTr="007340F5">
        <w:tc>
          <w:tcPr>
            <w:tcW w:w="1165" w:type="dxa"/>
          </w:tcPr>
          <w:p w14:paraId="3317D99A" w14:textId="77777777" w:rsidR="00D91A3D" w:rsidRPr="00422387" w:rsidRDefault="00D91A3D" w:rsidP="007340F5">
            <w:pPr>
              <w:jc w:val="center"/>
              <w:rPr>
                <w:sz w:val="20"/>
                <w:szCs w:val="20"/>
              </w:rPr>
            </w:pPr>
            <w:r>
              <w:rPr>
                <w:sz w:val="20"/>
                <w:szCs w:val="20"/>
              </w:rPr>
              <w:t>1994</w:t>
            </w:r>
          </w:p>
        </w:tc>
        <w:tc>
          <w:tcPr>
            <w:tcW w:w="2880" w:type="dxa"/>
          </w:tcPr>
          <w:p w14:paraId="3503A4D0" w14:textId="77777777" w:rsidR="00D91A3D" w:rsidRPr="00422387" w:rsidRDefault="00D91A3D" w:rsidP="007340F5">
            <w:pPr>
              <w:rPr>
                <w:sz w:val="20"/>
                <w:szCs w:val="20"/>
              </w:rPr>
            </w:pPr>
            <w:r>
              <w:rPr>
                <w:sz w:val="20"/>
                <w:szCs w:val="20"/>
              </w:rPr>
              <w:t>Animas River Stakeholders Group (ARSG) forms</w:t>
            </w:r>
          </w:p>
        </w:tc>
        <w:tc>
          <w:tcPr>
            <w:tcW w:w="5305" w:type="dxa"/>
          </w:tcPr>
          <w:p w14:paraId="67D69E6B" w14:textId="77777777" w:rsidR="00D91A3D" w:rsidRPr="00422387" w:rsidRDefault="00D91A3D" w:rsidP="007340F5">
            <w:pPr>
              <w:rPr>
                <w:sz w:val="20"/>
                <w:szCs w:val="20"/>
              </w:rPr>
            </w:pPr>
            <w:r>
              <w:rPr>
                <w:sz w:val="20"/>
                <w:szCs w:val="20"/>
              </w:rPr>
              <w:t>ARSG starts local AMD remediation projects, becomes outlet for opposition to Superfund.</w:t>
            </w:r>
          </w:p>
        </w:tc>
      </w:tr>
      <w:tr w:rsidR="00D91A3D" w14:paraId="75752017" w14:textId="77777777" w:rsidTr="007340F5">
        <w:tc>
          <w:tcPr>
            <w:tcW w:w="1165" w:type="dxa"/>
          </w:tcPr>
          <w:p w14:paraId="1FDAC06C" w14:textId="77777777" w:rsidR="00D91A3D" w:rsidRPr="00422387" w:rsidRDefault="00D91A3D" w:rsidP="007340F5">
            <w:pPr>
              <w:jc w:val="center"/>
              <w:rPr>
                <w:sz w:val="20"/>
                <w:szCs w:val="20"/>
              </w:rPr>
            </w:pPr>
            <w:r>
              <w:rPr>
                <w:sz w:val="20"/>
                <w:szCs w:val="20"/>
              </w:rPr>
              <w:t>1996-2002</w:t>
            </w:r>
          </w:p>
        </w:tc>
        <w:tc>
          <w:tcPr>
            <w:tcW w:w="2880" w:type="dxa"/>
          </w:tcPr>
          <w:p w14:paraId="2614B033" w14:textId="77777777" w:rsidR="00D91A3D" w:rsidRPr="00422387" w:rsidRDefault="00D91A3D" w:rsidP="007340F5">
            <w:pPr>
              <w:rPr>
                <w:sz w:val="20"/>
                <w:szCs w:val="20"/>
              </w:rPr>
            </w:pPr>
            <w:r>
              <w:rPr>
                <w:sz w:val="20"/>
                <w:szCs w:val="20"/>
              </w:rPr>
              <w:t>American Tunnel bulkheads installed</w:t>
            </w:r>
          </w:p>
        </w:tc>
        <w:tc>
          <w:tcPr>
            <w:tcW w:w="5305" w:type="dxa"/>
          </w:tcPr>
          <w:p w14:paraId="02B85A84" w14:textId="77777777" w:rsidR="00D91A3D" w:rsidRPr="00422387" w:rsidRDefault="00D91A3D" w:rsidP="007340F5">
            <w:pPr>
              <w:rPr>
                <w:sz w:val="20"/>
                <w:szCs w:val="20"/>
              </w:rPr>
            </w:pPr>
            <w:r>
              <w:rPr>
                <w:sz w:val="20"/>
                <w:szCs w:val="20"/>
              </w:rPr>
              <w:t>AMD from Sunnyside decreases; AMD from GKM and others in Cement Creek drainage increases significantly.</w:t>
            </w:r>
          </w:p>
        </w:tc>
      </w:tr>
      <w:tr w:rsidR="00D91A3D" w14:paraId="17B384C4" w14:textId="77777777" w:rsidTr="007340F5">
        <w:tc>
          <w:tcPr>
            <w:tcW w:w="1165" w:type="dxa"/>
          </w:tcPr>
          <w:p w14:paraId="295CFDA8" w14:textId="77777777" w:rsidR="00D91A3D" w:rsidRDefault="00D91A3D" w:rsidP="007340F5">
            <w:pPr>
              <w:jc w:val="center"/>
              <w:rPr>
                <w:sz w:val="20"/>
                <w:szCs w:val="20"/>
              </w:rPr>
            </w:pPr>
          </w:p>
          <w:p w14:paraId="6F7BE4C7" w14:textId="77777777" w:rsidR="00D91A3D" w:rsidRPr="00422387" w:rsidRDefault="00D91A3D" w:rsidP="007340F5">
            <w:pPr>
              <w:jc w:val="center"/>
              <w:rPr>
                <w:sz w:val="20"/>
                <w:szCs w:val="20"/>
              </w:rPr>
            </w:pPr>
            <w:r>
              <w:rPr>
                <w:sz w:val="20"/>
                <w:szCs w:val="20"/>
              </w:rPr>
              <w:t>2009</w:t>
            </w:r>
          </w:p>
        </w:tc>
        <w:tc>
          <w:tcPr>
            <w:tcW w:w="2880" w:type="dxa"/>
          </w:tcPr>
          <w:p w14:paraId="7F04A2D2" w14:textId="77777777" w:rsidR="00D91A3D" w:rsidRPr="00422387" w:rsidRDefault="00D91A3D" w:rsidP="007340F5">
            <w:pPr>
              <w:rPr>
                <w:sz w:val="20"/>
                <w:szCs w:val="20"/>
              </w:rPr>
            </w:pPr>
            <w:r>
              <w:rPr>
                <w:sz w:val="20"/>
                <w:szCs w:val="20"/>
              </w:rPr>
              <w:t>Annual AMD from GKM at 200,000 lbs. of heavy metals.</w:t>
            </w:r>
          </w:p>
        </w:tc>
        <w:tc>
          <w:tcPr>
            <w:tcW w:w="5305" w:type="dxa"/>
          </w:tcPr>
          <w:p w14:paraId="6FE74E4B" w14:textId="77777777" w:rsidR="00D91A3D" w:rsidRPr="00422387" w:rsidRDefault="00D91A3D" w:rsidP="007340F5">
            <w:pPr>
              <w:rPr>
                <w:sz w:val="20"/>
                <w:szCs w:val="20"/>
              </w:rPr>
            </w:pPr>
            <w:r>
              <w:rPr>
                <w:sz w:val="20"/>
                <w:szCs w:val="20"/>
              </w:rPr>
              <w:t>GKM labeled one of the worst AMD sources in Cement Creek by CO Division of Reclamation and Mining Safety.</w:t>
            </w:r>
          </w:p>
        </w:tc>
      </w:tr>
      <w:tr w:rsidR="00D91A3D" w14:paraId="3263882D" w14:textId="77777777" w:rsidTr="007340F5">
        <w:tc>
          <w:tcPr>
            <w:tcW w:w="1165" w:type="dxa"/>
          </w:tcPr>
          <w:p w14:paraId="5CF90DDF" w14:textId="77777777" w:rsidR="00D91A3D" w:rsidRDefault="00D91A3D" w:rsidP="007340F5">
            <w:pPr>
              <w:jc w:val="center"/>
              <w:rPr>
                <w:sz w:val="20"/>
                <w:szCs w:val="20"/>
              </w:rPr>
            </w:pPr>
          </w:p>
          <w:p w14:paraId="59960677" w14:textId="77777777" w:rsidR="00D91A3D" w:rsidRPr="00422387" w:rsidRDefault="00D91A3D" w:rsidP="007340F5">
            <w:pPr>
              <w:jc w:val="center"/>
              <w:rPr>
                <w:sz w:val="20"/>
                <w:szCs w:val="20"/>
              </w:rPr>
            </w:pPr>
            <w:r>
              <w:rPr>
                <w:sz w:val="20"/>
                <w:szCs w:val="20"/>
              </w:rPr>
              <w:t>2014</w:t>
            </w:r>
          </w:p>
        </w:tc>
        <w:tc>
          <w:tcPr>
            <w:tcW w:w="2880" w:type="dxa"/>
          </w:tcPr>
          <w:p w14:paraId="6B82F6FE" w14:textId="77777777" w:rsidR="00D91A3D" w:rsidRPr="00422387" w:rsidRDefault="00D91A3D" w:rsidP="007340F5">
            <w:pPr>
              <w:rPr>
                <w:sz w:val="20"/>
                <w:szCs w:val="20"/>
              </w:rPr>
            </w:pPr>
            <w:r>
              <w:rPr>
                <w:sz w:val="20"/>
                <w:szCs w:val="20"/>
              </w:rPr>
              <w:t>Sunnyside Gold Corporation permanent treatment plant</w:t>
            </w:r>
          </w:p>
        </w:tc>
        <w:tc>
          <w:tcPr>
            <w:tcW w:w="5305" w:type="dxa"/>
          </w:tcPr>
          <w:p w14:paraId="1A4A6077" w14:textId="77777777" w:rsidR="00D91A3D" w:rsidRPr="00422387" w:rsidRDefault="00D91A3D" w:rsidP="007340F5">
            <w:pPr>
              <w:rPr>
                <w:sz w:val="20"/>
                <w:szCs w:val="20"/>
              </w:rPr>
            </w:pPr>
            <w:r>
              <w:rPr>
                <w:sz w:val="20"/>
                <w:szCs w:val="20"/>
              </w:rPr>
              <w:t>$10 million offer has stipulation that if accepted, potential Superfund listing in Cement Creek permanently stopped.</w:t>
            </w:r>
          </w:p>
        </w:tc>
      </w:tr>
      <w:tr w:rsidR="00D91A3D" w14:paraId="0B9EF473" w14:textId="77777777" w:rsidTr="007340F5">
        <w:tc>
          <w:tcPr>
            <w:tcW w:w="1165" w:type="dxa"/>
          </w:tcPr>
          <w:p w14:paraId="2F6C031C" w14:textId="77777777" w:rsidR="00D91A3D" w:rsidRPr="00422387" w:rsidRDefault="00D91A3D" w:rsidP="007340F5">
            <w:pPr>
              <w:jc w:val="center"/>
              <w:rPr>
                <w:sz w:val="20"/>
                <w:szCs w:val="20"/>
              </w:rPr>
            </w:pPr>
            <w:r>
              <w:rPr>
                <w:sz w:val="20"/>
                <w:szCs w:val="20"/>
              </w:rPr>
              <w:t>2015</w:t>
            </w:r>
          </w:p>
        </w:tc>
        <w:tc>
          <w:tcPr>
            <w:tcW w:w="2880" w:type="dxa"/>
          </w:tcPr>
          <w:p w14:paraId="5DC01E10" w14:textId="77777777" w:rsidR="00D91A3D" w:rsidRPr="00422387" w:rsidRDefault="00D91A3D" w:rsidP="007340F5">
            <w:pPr>
              <w:rPr>
                <w:sz w:val="20"/>
                <w:szCs w:val="20"/>
              </w:rPr>
            </w:pPr>
            <w:r>
              <w:rPr>
                <w:sz w:val="20"/>
                <w:szCs w:val="20"/>
              </w:rPr>
              <w:t>GKM blowout, 10:30 AM on 8/5</w:t>
            </w:r>
          </w:p>
        </w:tc>
        <w:tc>
          <w:tcPr>
            <w:tcW w:w="5305" w:type="dxa"/>
          </w:tcPr>
          <w:p w14:paraId="2E4E444C" w14:textId="77777777" w:rsidR="00D91A3D" w:rsidRPr="00422387" w:rsidRDefault="00D91A3D" w:rsidP="007340F5">
            <w:pPr>
              <w:rPr>
                <w:sz w:val="20"/>
                <w:szCs w:val="20"/>
              </w:rPr>
            </w:pPr>
            <w:r>
              <w:rPr>
                <w:sz w:val="20"/>
                <w:szCs w:val="20"/>
              </w:rPr>
              <w:t xml:space="preserve">3 million gallons of AMD released into Cement Creek. </w:t>
            </w:r>
          </w:p>
        </w:tc>
      </w:tr>
      <w:tr w:rsidR="00D91A3D" w14:paraId="4941394A" w14:textId="77777777" w:rsidTr="007340F5">
        <w:tc>
          <w:tcPr>
            <w:tcW w:w="1165" w:type="dxa"/>
          </w:tcPr>
          <w:p w14:paraId="6C149546" w14:textId="77777777" w:rsidR="00D91A3D" w:rsidRPr="00422387" w:rsidRDefault="00D91A3D" w:rsidP="007340F5">
            <w:pPr>
              <w:jc w:val="center"/>
              <w:rPr>
                <w:sz w:val="20"/>
                <w:szCs w:val="20"/>
              </w:rPr>
            </w:pPr>
            <w:r>
              <w:rPr>
                <w:sz w:val="20"/>
                <w:szCs w:val="20"/>
              </w:rPr>
              <w:t>2015</w:t>
            </w:r>
          </w:p>
        </w:tc>
        <w:tc>
          <w:tcPr>
            <w:tcW w:w="2880" w:type="dxa"/>
          </w:tcPr>
          <w:p w14:paraId="6CAF92CA" w14:textId="77777777" w:rsidR="00D91A3D" w:rsidRPr="00422387" w:rsidRDefault="00D91A3D" w:rsidP="007340F5">
            <w:pPr>
              <w:rPr>
                <w:sz w:val="20"/>
                <w:szCs w:val="20"/>
              </w:rPr>
            </w:pPr>
            <w:r>
              <w:rPr>
                <w:sz w:val="20"/>
                <w:szCs w:val="20"/>
              </w:rPr>
              <w:t>36 hours later plume hits Durango</w:t>
            </w:r>
          </w:p>
        </w:tc>
        <w:tc>
          <w:tcPr>
            <w:tcW w:w="5305" w:type="dxa"/>
          </w:tcPr>
          <w:p w14:paraId="269F5309" w14:textId="77777777" w:rsidR="00D91A3D" w:rsidRPr="00422387" w:rsidRDefault="00D91A3D" w:rsidP="007340F5">
            <w:pPr>
              <w:rPr>
                <w:sz w:val="20"/>
                <w:szCs w:val="20"/>
              </w:rPr>
            </w:pPr>
            <w:r>
              <w:rPr>
                <w:sz w:val="20"/>
                <w:szCs w:val="20"/>
              </w:rPr>
              <w:t>Animas River turns orange in color; River and all intakes closed; intense media coverage.</w:t>
            </w:r>
          </w:p>
        </w:tc>
      </w:tr>
      <w:tr w:rsidR="00D91A3D" w14:paraId="543FA7F0" w14:textId="77777777" w:rsidTr="007340F5">
        <w:trPr>
          <w:trHeight w:val="566"/>
        </w:trPr>
        <w:tc>
          <w:tcPr>
            <w:tcW w:w="1165" w:type="dxa"/>
          </w:tcPr>
          <w:p w14:paraId="663FAE7D" w14:textId="77777777" w:rsidR="00D91A3D" w:rsidRDefault="00D91A3D" w:rsidP="007340F5">
            <w:pPr>
              <w:jc w:val="center"/>
              <w:rPr>
                <w:sz w:val="20"/>
                <w:szCs w:val="20"/>
              </w:rPr>
            </w:pPr>
            <w:r>
              <w:rPr>
                <w:sz w:val="20"/>
                <w:szCs w:val="20"/>
              </w:rPr>
              <w:t>2015</w:t>
            </w:r>
          </w:p>
        </w:tc>
        <w:tc>
          <w:tcPr>
            <w:tcW w:w="2880" w:type="dxa"/>
          </w:tcPr>
          <w:p w14:paraId="3415CCC0" w14:textId="77777777" w:rsidR="00D91A3D" w:rsidRDefault="00D91A3D" w:rsidP="007340F5">
            <w:pPr>
              <w:rPr>
                <w:sz w:val="20"/>
                <w:szCs w:val="20"/>
              </w:rPr>
            </w:pPr>
            <w:r>
              <w:rPr>
                <w:sz w:val="20"/>
                <w:szCs w:val="20"/>
              </w:rPr>
              <w:t>Silverton, San Juan County pursue Superfund listing</w:t>
            </w:r>
          </w:p>
        </w:tc>
        <w:tc>
          <w:tcPr>
            <w:tcW w:w="5305" w:type="dxa"/>
          </w:tcPr>
          <w:p w14:paraId="435CA556" w14:textId="77777777" w:rsidR="00D91A3D" w:rsidRDefault="00D91A3D" w:rsidP="007340F5">
            <w:pPr>
              <w:rPr>
                <w:sz w:val="20"/>
                <w:szCs w:val="20"/>
              </w:rPr>
            </w:pPr>
            <w:r>
              <w:rPr>
                <w:sz w:val="20"/>
                <w:szCs w:val="20"/>
              </w:rPr>
              <w:t>Unanimous approval by vote on 11/23/15.</w:t>
            </w:r>
          </w:p>
        </w:tc>
      </w:tr>
      <w:tr w:rsidR="00D91A3D" w14:paraId="2CF6E4BC" w14:textId="77777777" w:rsidTr="007340F5">
        <w:trPr>
          <w:trHeight w:val="566"/>
        </w:trPr>
        <w:tc>
          <w:tcPr>
            <w:tcW w:w="1165" w:type="dxa"/>
          </w:tcPr>
          <w:p w14:paraId="291A77E8" w14:textId="77777777" w:rsidR="00D91A3D" w:rsidRDefault="00D91A3D" w:rsidP="007340F5">
            <w:pPr>
              <w:jc w:val="center"/>
              <w:rPr>
                <w:sz w:val="20"/>
                <w:szCs w:val="20"/>
              </w:rPr>
            </w:pPr>
            <w:r>
              <w:rPr>
                <w:sz w:val="20"/>
                <w:szCs w:val="20"/>
              </w:rPr>
              <w:t>2016</w:t>
            </w:r>
          </w:p>
        </w:tc>
        <w:tc>
          <w:tcPr>
            <w:tcW w:w="2880" w:type="dxa"/>
          </w:tcPr>
          <w:p w14:paraId="7776D153" w14:textId="77777777" w:rsidR="00D91A3D" w:rsidRDefault="00D91A3D" w:rsidP="007340F5">
            <w:pPr>
              <w:rPr>
                <w:sz w:val="20"/>
                <w:szCs w:val="20"/>
              </w:rPr>
            </w:pPr>
            <w:r>
              <w:rPr>
                <w:sz w:val="20"/>
                <w:szCs w:val="20"/>
              </w:rPr>
              <w:t>CO Governor requests BPMD listing</w:t>
            </w:r>
          </w:p>
        </w:tc>
        <w:tc>
          <w:tcPr>
            <w:tcW w:w="5305" w:type="dxa"/>
          </w:tcPr>
          <w:p w14:paraId="24495963" w14:textId="77777777" w:rsidR="00D91A3D" w:rsidRDefault="00D91A3D" w:rsidP="007340F5">
            <w:pPr>
              <w:rPr>
                <w:sz w:val="20"/>
                <w:szCs w:val="20"/>
              </w:rPr>
            </w:pPr>
            <w:r>
              <w:rPr>
                <w:sz w:val="20"/>
                <w:szCs w:val="20"/>
              </w:rPr>
              <w:t>Governor Hickenlooper requests adding BPMD to NPL on 2/29/16</w:t>
            </w:r>
          </w:p>
        </w:tc>
      </w:tr>
      <w:tr w:rsidR="00D91A3D" w14:paraId="74C60AF2" w14:textId="77777777" w:rsidTr="007340F5">
        <w:tc>
          <w:tcPr>
            <w:tcW w:w="1165" w:type="dxa"/>
          </w:tcPr>
          <w:p w14:paraId="16B1DBDD" w14:textId="77777777" w:rsidR="00D91A3D" w:rsidRDefault="00D91A3D" w:rsidP="007340F5">
            <w:pPr>
              <w:jc w:val="center"/>
              <w:rPr>
                <w:sz w:val="20"/>
                <w:szCs w:val="20"/>
              </w:rPr>
            </w:pPr>
            <w:r>
              <w:rPr>
                <w:sz w:val="20"/>
                <w:szCs w:val="20"/>
              </w:rPr>
              <w:t>2016</w:t>
            </w:r>
          </w:p>
        </w:tc>
        <w:tc>
          <w:tcPr>
            <w:tcW w:w="2880" w:type="dxa"/>
          </w:tcPr>
          <w:p w14:paraId="404C5F6A" w14:textId="77777777" w:rsidR="00D91A3D" w:rsidRDefault="00D91A3D" w:rsidP="007340F5">
            <w:pPr>
              <w:rPr>
                <w:sz w:val="20"/>
                <w:szCs w:val="20"/>
              </w:rPr>
            </w:pPr>
            <w:r>
              <w:rPr>
                <w:sz w:val="20"/>
                <w:szCs w:val="20"/>
              </w:rPr>
              <w:t>EPA proposes Superfund listing</w:t>
            </w:r>
          </w:p>
        </w:tc>
        <w:tc>
          <w:tcPr>
            <w:tcW w:w="5305" w:type="dxa"/>
          </w:tcPr>
          <w:p w14:paraId="4CF52CD7" w14:textId="77777777" w:rsidR="00D91A3D" w:rsidRDefault="00D91A3D" w:rsidP="007340F5">
            <w:pPr>
              <w:rPr>
                <w:sz w:val="20"/>
                <w:szCs w:val="20"/>
              </w:rPr>
            </w:pPr>
            <w:r>
              <w:rPr>
                <w:sz w:val="20"/>
                <w:szCs w:val="20"/>
              </w:rPr>
              <w:t>EPA proposes BPMD listing on 4/7/16</w:t>
            </w:r>
          </w:p>
        </w:tc>
      </w:tr>
      <w:tr w:rsidR="00D91A3D" w14:paraId="60501C29" w14:textId="77777777" w:rsidTr="007340F5">
        <w:tc>
          <w:tcPr>
            <w:tcW w:w="1165" w:type="dxa"/>
          </w:tcPr>
          <w:p w14:paraId="6C9ED3C2" w14:textId="77777777" w:rsidR="00D91A3D" w:rsidRPr="00422387" w:rsidRDefault="00D91A3D" w:rsidP="007340F5">
            <w:pPr>
              <w:jc w:val="center"/>
              <w:rPr>
                <w:sz w:val="20"/>
                <w:szCs w:val="20"/>
              </w:rPr>
            </w:pPr>
            <w:r>
              <w:rPr>
                <w:sz w:val="20"/>
                <w:szCs w:val="20"/>
              </w:rPr>
              <w:t>2016</w:t>
            </w:r>
          </w:p>
        </w:tc>
        <w:tc>
          <w:tcPr>
            <w:tcW w:w="2880" w:type="dxa"/>
          </w:tcPr>
          <w:p w14:paraId="242E9E68" w14:textId="77777777" w:rsidR="00D91A3D" w:rsidRPr="00422387" w:rsidRDefault="00D91A3D" w:rsidP="007340F5">
            <w:pPr>
              <w:rPr>
                <w:sz w:val="20"/>
                <w:szCs w:val="20"/>
              </w:rPr>
            </w:pPr>
            <w:r>
              <w:rPr>
                <w:sz w:val="20"/>
                <w:szCs w:val="20"/>
              </w:rPr>
              <w:t>Final Superfund listing by EPA</w:t>
            </w:r>
          </w:p>
        </w:tc>
        <w:tc>
          <w:tcPr>
            <w:tcW w:w="5305" w:type="dxa"/>
          </w:tcPr>
          <w:p w14:paraId="2B7FC909" w14:textId="77777777" w:rsidR="00D91A3D" w:rsidRPr="00422387" w:rsidRDefault="00D91A3D" w:rsidP="007340F5">
            <w:pPr>
              <w:rPr>
                <w:sz w:val="20"/>
                <w:szCs w:val="20"/>
              </w:rPr>
            </w:pPr>
            <w:r>
              <w:rPr>
                <w:sz w:val="20"/>
                <w:szCs w:val="20"/>
              </w:rPr>
              <w:t>BPMD announced on 9/9/2016 in the Federal Register.</w:t>
            </w:r>
          </w:p>
        </w:tc>
      </w:tr>
      <w:tr w:rsidR="00D91A3D" w14:paraId="118B94ED" w14:textId="77777777" w:rsidTr="007340F5">
        <w:tc>
          <w:tcPr>
            <w:tcW w:w="1165" w:type="dxa"/>
          </w:tcPr>
          <w:p w14:paraId="7C552C14" w14:textId="77777777" w:rsidR="00D91A3D" w:rsidRPr="00422387" w:rsidRDefault="00D91A3D" w:rsidP="007340F5">
            <w:pPr>
              <w:jc w:val="center"/>
              <w:rPr>
                <w:sz w:val="20"/>
                <w:szCs w:val="20"/>
              </w:rPr>
            </w:pPr>
            <w:r>
              <w:rPr>
                <w:sz w:val="20"/>
                <w:szCs w:val="20"/>
              </w:rPr>
              <w:t>2016</w:t>
            </w:r>
          </w:p>
        </w:tc>
        <w:tc>
          <w:tcPr>
            <w:tcW w:w="2880" w:type="dxa"/>
          </w:tcPr>
          <w:p w14:paraId="6A88FDA3" w14:textId="77777777" w:rsidR="00D91A3D" w:rsidRPr="00422387" w:rsidRDefault="00D91A3D" w:rsidP="007340F5">
            <w:pPr>
              <w:rPr>
                <w:sz w:val="20"/>
                <w:szCs w:val="20"/>
              </w:rPr>
            </w:pPr>
            <w:r>
              <w:rPr>
                <w:sz w:val="20"/>
                <w:szCs w:val="20"/>
              </w:rPr>
              <w:t>First of multiple lawsuits on 5/23</w:t>
            </w:r>
          </w:p>
        </w:tc>
        <w:tc>
          <w:tcPr>
            <w:tcW w:w="5305" w:type="dxa"/>
          </w:tcPr>
          <w:p w14:paraId="24775884" w14:textId="77777777" w:rsidR="00D91A3D" w:rsidRPr="00422387" w:rsidRDefault="00D91A3D" w:rsidP="007340F5">
            <w:pPr>
              <w:rPr>
                <w:sz w:val="20"/>
                <w:szCs w:val="20"/>
              </w:rPr>
            </w:pPr>
            <w:r>
              <w:rPr>
                <w:sz w:val="20"/>
                <w:szCs w:val="20"/>
              </w:rPr>
              <w:t>NM sues EPA, mine owners.  NM sues CO on 6/30; Navajo Nation sues EPA, mine owners on 8/17.</w:t>
            </w:r>
          </w:p>
        </w:tc>
      </w:tr>
      <w:tr w:rsidR="00D91A3D" w14:paraId="1636DB72" w14:textId="77777777" w:rsidTr="007340F5">
        <w:tc>
          <w:tcPr>
            <w:tcW w:w="1165" w:type="dxa"/>
          </w:tcPr>
          <w:p w14:paraId="32DCFAD3" w14:textId="77777777" w:rsidR="00D91A3D" w:rsidRDefault="00D91A3D" w:rsidP="007340F5">
            <w:pPr>
              <w:jc w:val="center"/>
              <w:rPr>
                <w:sz w:val="20"/>
                <w:szCs w:val="20"/>
              </w:rPr>
            </w:pPr>
            <w:r>
              <w:rPr>
                <w:sz w:val="20"/>
                <w:szCs w:val="20"/>
              </w:rPr>
              <w:t>2018</w:t>
            </w:r>
          </w:p>
        </w:tc>
        <w:tc>
          <w:tcPr>
            <w:tcW w:w="2880" w:type="dxa"/>
          </w:tcPr>
          <w:p w14:paraId="628F495E" w14:textId="77777777" w:rsidR="00D91A3D" w:rsidRDefault="00D91A3D" w:rsidP="007340F5">
            <w:pPr>
              <w:rPr>
                <w:sz w:val="20"/>
                <w:szCs w:val="20"/>
              </w:rPr>
            </w:pPr>
            <w:r>
              <w:rPr>
                <w:sz w:val="20"/>
                <w:szCs w:val="20"/>
              </w:rPr>
              <w:t>EPA outlines cleanup plan (June)</w:t>
            </w:r>
          </w:p>
        </w:tc>
        <w:tc>
          <w:tcPr>
            <w:tcW w:w="5305" w:type="dxa"/>
          </w:tcPr>
          <w:p w14:paraId="2DFE7763" w14:textId="77777777" w:rsidR="00D91A3D" w:rsidRDefault="00D91A3D" w:rsidP="007340F5">
            <w:pPr>
              <w:rPr>
                <w:sz w:val="20"/>
                <w:szCs w:val="20"/>
              </w:rPr>
            </w:pPr>
            <w:r>
              <w:rPr>
                <w:sz w:val="20"/>
                <w:szCs w:val="20"/>
              </w:rPr>
              <w:t>26 sites to be restored via “Interim Remedial Action Plan”</w:t>
            </w:r>
          </w:p>
        </w:tc>
      </w:tr>
    </w:tbl>
    <w:p w14:paraId="4B791723" w14:textId="77777777" w:rsidR="008B2293" w:rsidRPr="008B2293" w:rsidRDefault="008B2293" w:rsidP="008B2293">
      <w:pPr>
        <w:spacing w:line="480" w:lineRule="auto"/>
        <w:rPr>
          <w:rFonts w:cs="Times New Roman"/>
          <w:b/>
        </w:rPr>
      </w:pPr>
    </w:p>
    <w:p w14:paraId="29256ECA" w14:textId="1D8C49CE" w:rsidR="007340F5" w:rsidRDefault="00674DFF">
      <w:pPr>
        <w:rPr>
          <w:b/>
        </w:rPr>
      </w:pPr>
      <w:r>
        <w:rPr>
          <w:b/>
        </w:rPr>
        <w:lastRenderedPageBreak/>
        <w:t>APPENDIX III – THE DISCOLORED ANIMAS RIVER</w:t>
      </w:r>
    </w:p>
    <w:p w14:paraId="29F82FF7" w14:textId="77777777" w:rsidR="00674DFF" w:rsidRDefault="00674DFF">
      <w:pPr>
        <w:rPr>
          <w:b/>
        </w:rPr>
      </w:pPr>
    </w:p>
    <w:p w14:paraId="5C95945B" w14:textId="77777777" w:rsidR="00674DFF" w:rsidRDefault="00674DFF" w:rsidP="00674DFF">
      <w:pPr>
        <w:rPr>
          <w:sz w:val="22"/>
          <w:szCs w:val="22"/>
        </w:rPr>
      </w:pPr>
      <w:r>
        <w:rPr>
          <w:noProof/>
          <w:sz w:val="22"/>
          <w:szCs w:val="22"/>
        </w:rPr>
        <w:drawing>
          <wp:inline distT="0" distB="0" distL="0" distR="0" wp14:anchorId="7052AD8C" wp14:editId="2ED8D410">
            <wp:extent cx="5486400" cy="3199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KingMine.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199130"/>
                    </a:xfrm>
                    <a:prstGeom prst="rect">
                      <a:avLst/>
                    </a:prstGeom>
                  </pic:spPr>
                </pic:pic>
              </a:graphicData>
            </a:graphic>
          </wp:inline>
        </w:drawing>
      </w:r>
    </w:p>
    <w:p w14:paraId="716950EE" w14:textId="3BED4080" w:rsidR="00674DFF" w:rsidRDefault="00674DFF" w:rsidP="00674DFF">
      <w:pPr>
        <w:rPr>
          <w:sz w:val="22"/>
          <w:szCs w:val="22"/>
        </w:rPr>
      </w:pPr>
      <w:r>
        <w:rPr>
          <w:sz w:val="22"/>
          <w:szCs w:val="22"/>
        </w:rPr>
        <w:tab/>
      </w:r>
    </w:p>
    <w:p w14:paraId="2A737A12" w14:textId="17D03A2E" w:rsidR="00674DFF" w:rsidRDefault="00674DFF">
      <w:pPr>
        <w:rPr>
          <w:b/>
        </w:rPr>
      </w:pPr>
    </w:p>
    <w:p w14:paraId="2A54BBB9" w14:textId="0FB266DA" w:rsidR="00674DFF" w:rsidRDefault="00674DFF">
      <w:pPr>
        <w:rPr>
          <w:b/>
        </w:rPr>
      </w:pPr>
    </w:p>
    <w:p w14:paraId="4A2066FA" w14:textId="77777777" w:rsidR="00674DFF" w:rsidRPr="00674DFF" w:rsidRDefault="00674DFF">
      <w:pPr>
        <w:rPr>
          <w:b/>
        </w:rPr>
      </w:pPr>
    </w:p>
    <w:p w14:paraId="322309A0" w14:textId="05351645" w:rsidR="00674DFF" w:rsidRDefault="00674DFF"/>
    <w:p w14:paraId="60A4120E" w14:textId="49A102AB" w:rsidR="00674DFF" w:rsidRDefault="00674DFF">
      <w:r>
        <w:rPr>
          <w:noProof/>
          <w:sz w:val="22"/>
          <w:szCs w:val="22"/>
        </w:rPr>
        <w:drawing>
          <wp:inline distT="0" distB="0" distL="0" distR="0" wp14:anchorId="40F04139" wp14:editId="5C02FF26">
            <wp:extent cx="5600700" cy="3441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Kingspill2.jpg"/>
                    <pic:cNvPicPr/>
                  </pic:nvPicPr>
                  <pic:blipFill>
                    <a:blip r:embed="rId10">
                      <a:extLst>
                        <a:ext uri="{28A0092B-C50C-407E-A947-70E740481C1C}">
                          <a14:useLocalDpi xmlns:a14="http://schemas.microsoft.com/office/drawing/2010/main" val="0"/>
                        </a:ext>
                      </a:extLst>
                    </a:blip>
                    <a:stretch>
                      <a:fillRect/>
                    </a:stretch>
                  </pic:blipFill>
                  <pic:spPr>
                    <a:xfrm>
                      <a:off x="0" y="0"/>
                      <a:ext cx="5600700" cy="3441700"/>
                    </a:xfrm>
                    <a:prstGeom prst="rect">
                      <a:avLst/>
                    </a:prstGeom>
                  </pic:spPr>
                </pic:pic>
              </a:graphicData>
            </a:graphic>
          </wp:inline>
        </w:drawing>
      </w:r>
    </w:p>
    <w:p w14:paraId="1C916921" w14:textId="117AC812" w:rsidR="00674DFF" w:rsidRDefault="00674DFF"/>
    <w:p w14:paraId="1F8BFA6A" w14:textId="684B9CEB" w:rsidR="00DA79B2" w:rsidRPr="00657131" w:rsidRDefault="00DA79B2" w:rsidP="00DA79B2">
      <w:pPr>
        <w:pStyle w:val="EndnoteText"/>
        <w:rPr>
          <w:b/>
        </w:rPr>
      </w:pPr>
      <w:r>
        <w:rPr>
          <w:b/>
        </w:rPr>
        <w:lastRenderedPageBreak/>
        <w:t>Notes</w:t>
      </w:r>
    </w:p>
    <w:p w14:paraId="1C526226" w14:textId="77777777" w:rsidR="00DA79B2" w:rsidRDefault="00DA79B2"/>
    <w:sectPr w:rsidR="00DA79B2" w:rsidSect="00FB673A">
      <w:footerReference w:type="even" r:id="rId11"/>
      <w:footerReference w:type="default" r:id="rId12"/>
      <w:endnotePr>
        <w:numFmt w:val="decimal"/>
      </w:endnotePr>
      <w:pgSz w:w="12240" w:h="15840"/>
      <w:pgMar w:top="1440" w:right="1440" w:bottom="1440" w:left="144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EF8C3" w14:textId="77777777" w:rsidR="005749DE" w:rsidRDefault="005749DE" w:rsidP="00612E5B">
      <w:r>
        <w:separator/>
      </w:r>
    </w:p>
  </w:endnote>
  <w:endnote w:type="continuationSeparator" w:id="0">
    <w:p w14:paraId="31D079C4" w14:textId="77777777" w:rsidR="005749DE" w:rsidRDefault="005749DE" w:rsidP="00612E5B">
      <w:r>
        <w:continuationSeparator/>
      </w:r>
    </w:p>
  </w:endnote>
  <w:endnote w:id="1">
    <w:p w14:paraId="7557DE23" w14:textId="77777777" w:rsidR="004C7347" w:rsidRPr="00A1163F" w:rsidRDefault="004C7347" w:rsidP="00612E5B">
      <w:pPr>
        <w:pStyle w:val="Heading1"/>
        <w:spacing w:before="0" w:beforeAutospacing="0" w:after="0" w:afterAutospacing="0"/>
        <w:textAlignment w:val="baseline"/>
        <w:rPr>
          <w:rFonts w:asciiTheme="minorHAnsi" w:hAnsiTheme="minorHAnsi" w:cstheme="minorHAnsi"/>
          <w:b w:val="0"/>
          <w:color w:val="000000" w:themeColor="text1"/>
          <w:sz w:val="20"/>
          <w:szCs w:val="20"/>
        </w:rPr>
      </w:pPr>
      <w:r w:rsidRPr="00970CEF">
        <w:rPr>
          <w:rStyle w:val="EndnoteReference"/>
          <w:rFonts w:asciiTheme="minorHAnsi" w:hAnsiTheme="minorHAnsi"/>
          <w:b w:val="0"/>
          <w:sz w:val="20"/>
          <w:szCs w:val="20"/>
        </w:rPr>
        <w:endnoteRef/>
      </w:r>
      <w:r w:rsidRPr="00970CEF">
        <w:rPr>
          <w:rFonts w:asciiTheme="minorHAnsi" w:hAnsiTheme="minorHAnsi"/>
          <w:b w:val="0"/>
          <w:sz w:val="20"/>
          <w:szCs w:val="20"/>
        </w:rPr>
        <w:t xml:space="preserve">  Manuel Quinones, “</w:t>
      </w:r>
      <w:r w:rsidRPr="00970CEF">
        <w:rPr>
          <w:rFonts w:asciiTheme="minorHAnsi" w:eastAsia="Times New Roman" w:hAnsiTheme="minorHAnsi" w:cs="Arial"/>
          <w:b w:val="0"/>
          <w:sz w:val="20"/>
          <w:szCs w:val="20"/>
        </w:rPr>
        <w:t xml:space="preserve">EPA's Spill Pales in Comparison to Everyday Mine Leaks”, </w:t>
      </w:r>
      <w:r w:rsidRPr="00970CEF">
        <w:rPr>
          <w:rFonts w:asciiTheme="minorHAnsi" w:hAnsiTheme="minorHAnsi"/>
          <w:b w:val="0"/>
          <w:i/>
          <w:sz w:val="20"/>
          <w:szCs w:val="20"/>
        </w:rPr>
        <w:t xml:space="preserve">EE News, </w:t>
      </w:r>
      <w:r w:rsidRPr="00970CEF">
        <w:rPr>
          <w:rFonts w:asciiTheme="minorHAnsi" w:hAnsiTheme="minorHAnsi"/>
          <w:b w:val="0"/>
          <w:sz w:val="20"/>
          <w:szCs w:val="20"/>
        </w:rPr>
        <w:t xml:space="preserve">last </w:t>
      </w:r>
      <w:r w:rsidRPr="00970CEF">
        <w:rPr>
          <w:rFonts w:asciiTheme="minorHAnsi" w:hAnsiTheme="minorHAnsi"/>
          <w:b w:val="0"/>
          <w:color w:val="000000" w:themeColor="text1"/>
          <w:sz w:val="20"/>
          <w:szCs w:val="20"/>
        </w:rPr>
        <w:t xml:space="preserve">modified September </w:t>
      </w:r>
      <w:r w:rsidRPr="00A1163F">
        <w:rPr>
          <w:rFonts w:asciiTheme="minorHAnsi" w:hAnsiTheme="minorHAnsi" w:cstheme="minorHAnsi"/>
          <w:b w:val="0"/>
          <w:color w:val="000000" w:themeColor="text1"/>
          <w:sz w:val="20"/>
          <w:szCs w:val="20"/>
        </w:rPr>
        <w:t xml:space="preserve">8, 2015,  </w:t>
      </w:r>
      <w:hyperlink r:id="rId1" w:history="1">
        <w:r w:rsidRPr="00A1163F">
          <w:rPr>
            <w:rStyle w:val="Hyperlink"/>
            <w:rFonts w:asciiTheme="minorHAnsi" w:hAnsiTheme="minorHAnsi" w:cstheme="minorHAnsi"/>
            <w:b w:val="0"/>
            <w:color w:val="000000" w:themeColor="text1"/>
            <w:sz w:val="20"/>
            <w:szCs w:val="20"/>
          </w:rPr>
          <w:t>https://www.eenews.net/stories/1060024348</w:t>
        </w:r>
      </w:hyperlink>
    </w:p>
    <w:p w14:paraId="46F1C838" w14:textId="77777777" w:rsidR="004C7347" w:rsidRPr="00A1163F" w:rsidRDefault="004C7347" w:rsidP="00612E5B">
      <w:pPr>
        <w:pStyle w:val="EndnoteText"/>
        <w:rPr>
          <w:rFonts w:cstheme="minorHAnsi"/>
          <w:color w:val="000000" w:themeColor="text1"/>
          <w:sz w:val="20"/>
          <w:szCs w:val="20"/>
        </w:rPr>
      </w:pPr>
    </w:p>
  </w:endnote>
  <w:endnote w:id="2">
    <w:p w14:paraId="078238C6" w14:textId="78711540" w:rsidR="004C7347" w:rsidRPr="00AF6C8D" w:rsidRDefault="004C7347" w:rsidP="00447DA5">
      <w:pPr>
        <w:rPr>
          <w:rFonts w:eastAsia="Times New Roman" w:cstheme="minorHAnsi"/>
          <w:sz w:val="20"/>
          <w:szCs w:val="20"/>
        </w:rPr>
      </w:pPr>
      <w:r w:rsidRPr="00A1163F">
        <w:rPr>
          <w:rStyle w:val="EndnoteReference"/>
          <w:rFonts w:cstheme="minorHAnsi"/>
          <w:sz w:val="20"/>
          <w:szCs w:val="20"/>
        </w:rPr>
        <w:endnoteRef/>
      </w:r>
      <w:r w:rsidRPr="00A1163F">
        <w:rPr>
          <w:rFonts w:cstheme="minorHAnsi"/>
          <w:sz w:val="20"/>
          <w:szCs w:val="20"/>
        </w:rPr>
        <w:t xml:space="preserve"> AMD and ARD are </w:t>
      </w:r>
      <w:r w:rsidRPr="00AF6C8D">
        <w:rPr>
          <w:rFonts w:eastAsia="Times New Roman" w:cstheme="minorHAnsi"/>
          <w:color w:val="333333"/>
          <w:sz w:val="20"/>
          <w:szCs w:val="20"/>
          <w:shd w:val="clear" w:color="auto" w:fill="FFFFFF"/>
        </w:rPr>
        <w:t>formed when pyrite (an iron sulfide</w:t>
      </w:r>
      <w:r w:rsidRPr="00A1163F">
        <w:rPr>
          <w:rFonts w:eastAsia="Times New Roman" w:cstheme="minorHAnsi"/>
          <w:color w:val="333333"/>
          <w:sz w:val="20"/>
          <w:szCs w:val="20"/>
          <w:shd w:val="clear" w:color="auto" w:fill="FFFFFF"/>
        </w:rPr>
        <w:t xml:space="preserve"> or FeS</w:t>
      </w:r>
      <w:r w:rsidRPr="00A1163F">
        <w:rPr>
          <w:rFonts w:eastAsia="Times New Roman" w:cstheme="minorHAnsi"/>
          <w:color w:val="333333"/>
          <w:sz w:val="20"/>
          <w:szCs w:val="20"/>
          <w:shd w:val="clear" w:color="auto" w:fill="FFFFFF"/>
          <w:vertAlign w:val="subscript"/>
        </w:rPr>
        <w:t>2</w:t>
      </w:r>
      <w:r w:rsidRPr="00AF6C8D">
        <w:rPr>
          <w:rFonts w:eastAsia="Times New Roman" w:cstheme="minorHAnsi"/>
          <w:color w:val="333333"/>
          <w:sz w:val="20"/>
          <w:szCs w:val="20"/>
          <w:shd w:val="clear" w:color="auto" w:fill="FFFFFF"/>
        </w:rPr>
        <w:t>) is exposed</w:t>
      </w:r>
      <w:r w:rsidRPr="00A1163F">
        <w:rPr>
          <w:rFonts w:eastAsia="Times New Roman" w:cstheme="minorHAnsi"/>
          <w:color w:val="333333"/>
          <w:sz w:val="20"/>
          <w:szCs w:val="20"/>
          <w:shd w:val="clear" w:color="auto" w:fill="FFFFFF"/>
        </w:rPr>
        <w:t xml:space="preserve"> to</w:t>
      </w:r>
      <w:r w:rsidRPr="00AF6C8D">
        <w:rPr>
          <w:rFonts w:eastAsia="Times New Roman" w:cstheme="minorHAnsi"/>
          <w:color w:val="333333"/>
          <w:sz w:val="20"/>
          <w:szCs w:val="20"/>
          <w:shd w:val="clear" w:color="auto" w:fill="FFFFFF"/>
        </w:rPr>
        <w:t xml:space="preserve"> and reacts with </w:t>
      </w:r>
      <w:r w:rsidRPr="00A1163F">
        <w:rPr>
          <w:rFonts w:eastAsia="Times New Roman" w:cstheme="minorHAnsi"/>
          <w:color w:val="333333"/>
          <w:sz w:val="20"/>
          <w:szCs w:val="20"/>
          <w:shd w:val="clear" w:color="auto" w:fill="FFFFFF"/>
        </w:rPr>
        <w:t>oxygen</w:t>
      </w:r>
      <w:r w:rsidRPr="00AF6C8D">
        <w:rPr>
          <w:rFonts w:eastAsia="Times New Roman" w:cstheme="minorHAnsi"/>
          <w:color w:val="333333"/>
          <w:sz w:val="20"/>
          <w:szCs w:val="20"/>
          <w:shd w:val="clear" w:color="auto" w:fill="FFFFFF"/>
        </w:rPr>
        <w:t xml:space="preserve"> and water to form sulfuric acid </w:t>
      </w:r>
      <w:r w:rsidRPr="00A1163F">
        <w:rPr>
          <w:rFonts w:eastAsia="Times New Roman" w:cstheme="minorHAnsi"/>
          <w:color w:val="333333"/>
          <w:sz w:val="20"/>
          <w:szCs w:val="20"/>
          <w:shd w:val="clear" w:color="auto" w:fill="FFFFFF"/>
        </w:rPr>
        <w:t>(H</w:t>
      </w:r>
      <w:r w:rsidRPr="00A1163F">
        <w:rPr>
          <w:rFonts w:eastAsia="Times New Roman" w:cstheme="minorHAnsi"/>
          <w:color w:val="333333"/>
          <w:sz w:val="20"/>
          <w:szCs w:val="20"/>
          <w:shd w:val="clear" w:color="auto" w:fill="FFFFFF"/>
          <w:vertAlign w:val="subscript"/>
        </w:rPr>
        <w:t>2</w:t>
      </w:r>
      <w:r w:rsidRPr="00A1163F">
        <w:rPr>
          <w:rFonts w:eastAsia="Times New Roman" w:cstheme="minorHAnsi"/>
          <w:color w:val="333333"/>
          <w:sz w:val="20"/>
          <w:szCs w:val="20"/>
          <w:shd w:val="clear" w:color="auto" w:fill="FFFFFF"/>
        </w:rPr>
        <w:t>SO</w:t>
      </w:r>
      <w:r w:rsidRPr="00A1163F">
        <w:rPr>
          <w:rFonts w:eastAsia="Times New Roman" w:cstheme="minorHAnsi"/>
          <w:color w:val="333333"/>
          <w:sz w:val="20"/>
          <w:szCs w:val="20"/>
          <w:shd w:val="clear" w:color="auto" w:fill="FFFFFF"/>
          <w:vertAlign w:val="subscript"/>
        </w:rPr>
        <w:t>4</w:t>
      </w:r>
      <w:r w:rsidRPr="00A1163F">
        <w:rPr>
          <w:rFonts w:eastAsia="Times New Roman" w:cstheme="minorHAnsi"/>
          <w:color w:val="333333"/>
          <w:sz w:val="20"/>
          <w:szCs w:val="20"/>
          <w:shd w:val="clear" w:color="auto" w:fill="FFFFFF"/>
        </w:rPr>
        <w:t xml:space="preserve">) </w:t>
      </w:r>
      <w:r w:rsidRPr="00AF6C8D">
        <w:rPr>
          <w:rFonts w:eastAsia="Times New Roman" w:cstheme="minorHAnsi"/>
          <w:color w:val="333333"/>
          <w:sz w:val="20"/>
          <w:szCs w:val="20"/>
          <w:shd w:val="clear" w:color="auto" w:fill="FFFFFF"/>
        </w:rPr>
        <w:t>and dissolved iron</w:t>
      </w:r>
      <w:r w:rsidRPr="00A1163F">
        <w:rPr>
          <w:rFonts w:eastAsia="Times New Roman" w:cstheme="minorHAnsi"/>
          <w:color w:val="333333"/>
          <w:sz w:val="20"/>
          <w:szCs w:val="20"/>
          <w:shd w:val="clear" w:color="auto" w:fill="FFFFFF"/>
        </w:rPr>
        <w:t xml:space="preserve"> (Fe)</w:t>
      </w:r>
      <w:r w:rsidRPr="00AF6C8D">
        <w:rPr>
          <w:rFonts w:eastAsia="Times New Roman" w:cstheme="minorHAnsi"/>
          <w:color w:val="333333"/>
          <w:sz w:val="20"/>
          <w:szCs w:val="20"/>
          <w:shd w:val="clear" w:color="auto" w:fill="FFFFFF"/>
        </w:rPr>
        <w:t>. Some or all of this iron precipitate</w:t>
      </w:r>
      <w:r w:rsidRPr="00A1163F">
        <w:rPr>
          <w:rFonts w:eastAsia="Times New Roman" w:cstheme="minorHAnsi"/>
          <w:color w:val="333333"/>
          <w:sz w:val="20"/>
          <w:szCs w:val="20"/>
          <w:shd w:val="clear" w:color="auto" w:fill="FFFFFF"/>
        </w:rPr>
        <w:t>s</w:t>
      </w:r>
      <w:r w:rsidRPr="00AF6C8D">
        <w:rPr>
          <w:rFonts w:eastAsia="Times New Roman" w:cstheme="minorHAnsi"/>
          <w:color w:val="333333"/>
          <w:sz w:val="20"/>
          <w:szCs w:val="20"/>
          <w:shd w:val="clear" w:color="auto" w:fill="FFFFFF"/>
        </w:rPr>
        <w:t xml:space="preserve"> to form the red, orange, or yellow sediments in the bottom of streams containing </w:t>
      </w:r>
      <w:r w:rsidRPr="00A1163F">
        <w:rPr>
          <w:rFonts w:eastAsia="Times New Roman" w:cstheme="minorHAnsi"/>
          <w:color w:val="333333"/>
          <w:sz w:val="20"/>
          <w:szCs w:val="20"/>
          <w:shd w:val="clear" w:color="auto" w:fill="FFFFFF"/>
        </w:rPr>
        <w:t>AMD and/or ARD</w:t>
      </w:r>
      <w:r w:rsidRPr="00AF6C8D">
        <w:rPr>
          <w:rFonts w:eastAsia="Times New Roman" w:cstheme="minorHAnsi"/>
          <w:color w:val="333333"/>
          <w:sz w:val="20"/>
          <w:szCs w:val="20"/>
          <w:shd w:val="clear" w:color="auto" w:fill="FFFFFF"/>
        </w:rPr>
        <w:t xml:space="preserve">. The acid runoff further dissolves heavy metals such as copper, lead, and mercury into </w:t>
      </w:r>
      <w:r w:rsidRPr="00A1163F">
        <w:rPr>
          <w:rFonts w:eastAsia="Times New Roman" w:cstheme="minorHAnsi"/>
          <w:color w:val="333333"/>
          <w:sz w:val="20"/>
          <w:szCs w:val="20"/>
          <w:shd w:val="clear" w:color="auto" w:fill="FFFFFF"/>
        </w:rPr>
        <w:t xml:space="preserve">surface- and </w:t>
      </w:r>
      <w:r w:rsidRPr="00AF6C8D">
        <w:rPr>
          <w:rFonts w:eastAsia="Times New Roman" w:cstheme="minorHAnsi"/>
          <w:color w:val="333333"/>
          <w:sz w:val="20"/>
          <w:szCs w:val="20"/>
          <w:shd w:val="clear" w:color="auto" w:fill="FFFFFF"/>
        </w:rPr>
        <w:t>ground</w:t>
      </w:r>
      <w:r w:rsidRPr="00A1163F">
        <w:rPr>
          <w:rFonts w:eastAsia="Times New Roman" w:cstheme="minorHAnsi"/>
          <w:color w:val="333333"/>
          <w:sz w:val="20"/>
          <w:szCs w:val="20"/>
          <w:shd w:val="clear" w:color="auto" w:fill="FFFFFF"/>
        </w:rPr>
        <w:t>-</w:t>
      </w:r>
      <w:r w:rsidRPr="00AF6C8D">
        <w:rPr>
          <w:rFonts w:eastAsia="Times New Roman" w:cstheme="minorHAnsi"/>
          <w:color w:val="333333"/>
          <w:sz w:val="20"/>
          <w:szCs w:val="20"/>
          <w:shd w:val="clear" w:color="auto" w:fill="FFFFFF"/>
        </w:rPr>
        <w:t>water</w:t>
      </w:r>
      <w:r w:rsidRPr="00A1163F">
        <w:rPr>
          <w:rFonts w:eastAsia="Times New Roman" w:cstheme="minorHAnsi"/>
          <w:color w:val="333333"/>
          <w:sz w:val="20"/>
          <w:szCs w:val="20"/>
          <w:shd w:val="clear" w:color="auto" w:fill="FFFFFF"/>
        </w:rPr>
        <w:t>s.</w:t>
      </w:r>
    </w:p>
    <w:p w14:paraId="77A2FAD1" w14:textId="5395721E" w:rsidR="004C7347" w:rsidRPr="00A1163F" w:rsidRDefault="004C7347">
      <w:pPr>
        <w:pStyle w:val="EndnoteText"/>
        <w:rPr>
          <w:rFonts w:cstheme="minorHAnsi"/>
          <w:sz w:val="20"/>
          <w:szCs w:val="20"/>
        </w:rPr>
      </w:pPr>
    </w:p>
  </w:endnote>
  <w:endnote w:id="3">
    <w:p w14:paraId="575750EB" w14:textId="741B186C" w:rsidR="004C7347" w:rsidRPr="004C7347" w:rsidRDefault="004C7347">
      <w:pPr>
        <w:pStyle w:val="EndnoteText"/>
        <w:rPr>
          <w:rFonts w:cs="Arial"/>
          <w:sz w:val="20"/>
          <w:szCs w:val="20"/>
        </w:rPr>
      </w:pPr>
      <w:r w:rsidRPr="004C7347">
        <w:rPr>
          <w:rStyle w:val="EndnoteReference"/>
          <w:sz w:val="20"/>
          <w:szCs w:val="20"/>
        </w:rPr>
        <w:endnoteRef/>
      </w:r>
      <w:r w:rsidRPr="004C7347">
        <w:rPr>
          <w:sz w:val="20"/>
          <w:szCs w:val="20"/>
        </w:rPr>
        <w:t xml:space="preserve"> </w:t>
      </w:r>
      <w:r w:rsidRPr="004C7347">
        <w:rPr>
          <w:rFonts w:cs="Arial"/>
          <w:sz w:val="20"/>
          <w:szCs w:val="20"/>
        </w:rPr>
        <w:t xml:space="preserve">In Cement Creek, AMD has caused its pH value to fall to around 3.5, which is similar to that of store-bought vinegar.  In such acidic water, heavy metals are soluble (or easily dissolved).  After being diluted with less acidic waters (e.g., </w:t>
      </w:r>
      <w:r>
        <w:rPr>
          <w:rFonts w:cs="Arial"/>
          <w:sz w:val="20"/>
          <w:szCs w:val="20"/>
        </w:rPr>
        <w:t xml:space="preserve">from </w:t>
      </w:r>
      <w:r w:rsidRPr="004C7347">
        <w:rPr>
          <w:rFonts w:cs="Arial"/>
          <w:sz w:val="20"/>
          <w:szCs w:val="20"/>
        </w:rPr>
        <w:t>the mainstem Animas), pH levels rise; as this happens metals begin to (re)solidify in the water column and eventually settle as contaminated sediments.  The orange-</w:t>
      </w:r>
      <w:proofErr w:type="spellStart"/>
      <w:r w:rsidRPr="004C7347">
        <w:rPr>
          <w:rFonts w:cs="Arial"/>
          <w:sz w:val="20"/>
          <w:szCs w:val="20"/>
        </w:rPr>
        <w:t>ish</w:t>
      </w:r>
      <w:proofErr w:type="spellEnd"/>
      <w:r w:rsidRPr="004C7347">
        <w:rPr>
          <w:rFonts w:cs="Arial"/>
          <w:sz w:val="20"/>
          <w:szCs w:val="20"/>
        </w:rPr>
        <w:t xml:space="preserve"> color of the impacted waters is the result of these heavy metals (e.g., copper and zinc) becoming attached to iron particles.  </w:t>
      </w:r>
      <w:r w:rsidR="0016439F">
        <w:rPr>
          <w:rFonts w:cs="Arial"/>
          <w:sz w:val="20"/>
          <w:szCs w:val="20"/>
        </w:rPr>
        <w:t xml:space="preserve"> </w:t>
      </w:r>
    </w:p>
    <w:p w14:paraId="4AAC7C10" w14:textId="77777777" w:rsidR="004C7347" w:rsidRPr="004C7347" w:rsidRDefault="004C7347">
      <w:pPr>
        <w:pStyle w:val="EndnoteText"/>
        <w:rPr>
          <w:sz w:val="20"/>
          <w:szCs w:val="20"/>
        </w:rPr>
      </w:pPr>
    </w:p>
  </w:endnote>
  <w:endnote w:id="4">
    <w:p w14:paraId="449AEE93" w14:textId="77777777" w:rsidR="004C7347" w:rsidRPr="004C7347" w:rsidRDefault="004C7347" w:rsidP="00612E5B">
      <w:pPr>
        <w:rPr>
          <w:rFonts w:eastAsia="Times New Roman" w:cstheme="minorHAnsi"/>
          <w:color w:val="000000" w:themeColor="text1"/>
          <w:sz w:val="20"/>
          <w:szCs w:val="20"/>
        </w:rPr>
      </w:pPr>
      <w:r w:rsidRPr="004C7347">
        <w:rPr>
          <w:rStyle w:val="EndnoteReference"/>
          <w:rFonts w:cstheme="minorHAnsi"/>
          <w:color w:val="000000" w:themeColor="text1"/>
          <w:sz w:val="20"/>
          <w:szCs w:val="20"/>
        </w:rPr>
        <w:endnoteRef/>
      </w:r>
      <w:r w:rsidRPr="004C7347">
        <w:rPr>
          <w:rFonts w:cstheme="minorHAnsi"/>
          <w:color w:val="000000" w:themeColor="text1"/>
          <w:sz w:val="20"/>
          <w:szCs w:val="20"/>
        </w:rPr>
        <w:t xml:space="preserve"> </w:t>
      </w:r>
      <w:r w:rsidRPr="004C7347">
        <w:rPr>
          <w:rFonts w:eastAsia="Times New Roman" w:cstheme="minorHAnsi"/>
          <w:color w:val="000000" w:themeColor="text1"/>
          <w:sz w:val="20"/>
          <w:szCs w:val="20"/>
          <w:shd w:val="clear" w:color="auto" w:fill="FFFFFF"/>
        </w:rPr>
        <w:t xml:space="preserve">“Gold Medal Streams in Colorado”, Colorado Fishing, accessed July 25, 2018, </w:t>
      </w:r>
      <w:hyperlink r:id="rId2" w:history="1">
        <w:r w:rsidRPr="004C7347">
          <w:rPr>
            <w:rStyle w:val="Hyperlink"/>
            <w:rFonts w:eastAsia="Times New Roman" w:cstheme="minorHAnsi"/>
            <w:color w:val="000000" w:themeColor="text1"/>
            <w:sz w:val="20"/>
            <w:szCs w:val="20"/>
            <w:shd w:val="clear" w:color="auto" w:fill="FFFFFF"/>
          </w:rPr>
          <w:t>http://coloradofishing.net/goldmedal.htm</w:t>
        </w:r>
      </w:hyperlink>
      <w:r w:rsidRPr="004C7347">
        <w:rPr>
          <w:rFonts w:eastAsia="Times New Roman" w:cstheme="minorHAnsi"/>
          <w:color w:val="000000" w:themeColor="text1"/>
          <w:sz w:val="20"/>
          <w:szCs w:val="20"/>
          <w:shd w:val="clear" w:color="auto" w:fill="FFFFFF"/>
        </w:rPr>
        <w:t xml:space="preserve">  </w:t>
      </w:r>
    </w:p>
    <w:p w14:paraId="06BF5C44" w14:textId="77777777" w:rsidR="004C7347" w:rsidRPr="00970CEF" w:rsidRDefault="004C7347" w:rsidP="00612E5B">
      <w:pPr>
        <w:rPr>
          <w:color w:val="000000" w:themeColor="text1"/>
          <w:sz w:val="20"/>
          <w:szCs w:val="20"/>
        </w:rPr>
      </w:pPr>
      <w:r w:rsidRPr="00970CEF">
        <w:rPr>
          <w:color w:val="000000" w:themeColor="text1"/>
          <w:sz w:val="20"/>
          <w:szCs w:val="20"/>
        </w:rPr>
        <w:t xml:space="preserve"> </w:t>
      </w:r>
    </w:p>
    <w:p w14:paraId="76434E87" w14:textId="77777777" w:rsidR="004C7347" w:rsidRPr="00970CEF" w:rsidRDefault="004C7347" w:rsidP="00612E5B">
      <w:pPr>
        <w:rPr>
          <w:rFonts w:eastAsia="Times New Roman" w:cs="Times New Roman"/>
          <w:color w:val="000000" w:themeColor="text1"/>
          <w:sz w:val="20"/>
          <w:szCs w:val="20"/>
        </w:rPr>
      </w:pPr>
      <w:r w:rsidRPr="00970CEF">
        <w:rPr>
          <w:color w:val="000000" w:themeColor="text1"/>
          <w:sz w:val="20"/>
          <w:szCs w:val="20"/>
        </w:rPr>
        <w:t xml:space="preserve">“Gold Medal” fisheries </w:t>
      </w:r>
      <w:r w:rsidRPr="00970CEF">
        <w:rPr>
          <w:rFonts w:eastAsia="Times New Roman" w:cs="Arial"/>
          <w:color w:val="000000" w:themeColor="text1"/>
          <w:sz w:val="20"/>
          <w:szCs w:val="20"/>
          <w:shd w:val="clear" w:color="auto" w:fill="FFFFFF"/>
        </w:rPr>
        <w:t xml:space="preserve">possess the capacity to “produce 60 pounds of trout per acre, and at least twelve 14" or larger trout per acre. Only 322 miles of Colorado's 9000 miles of trout streams, and three lakes, carry the "Gold Medal" signature.” </w:t>
      </w:r>
    </w:p>
    <w:p w14:paraId="0F28893B" w14:textId="77777777" w:rsidR="004C7347" w:rsidRPr="00970CEF" w:rsidRDefault="004C7347" w:rsidP="00612E5B">
      <w:pPr>
        <w:pStyle w:val="EndnoteText"/>
        <w:rPr>
          <w:color w:val="000000" w:themeColor="text1"/>
          <w:sz w:val="20"/>
          <w:szCs w:val="20"/>
        </w:rPr>
      </w:pPr>
    </w:p>
  </w:endnote>
  <w:endnote w:id="5">
    <w:p w14:paraId="21255D66" w14:textId="77777777" w:rsidR="004C7347" w:rsidRPr="00970CEF" w:rsidRDefault="004C7347" w:rsidP="00612E5B">
      <w:pPr>
        <w:rPr>
          <w:sz w:val="20"/>
          <w:szCs w:val="20"/>
        </w:rPr>
      </w:pPr>
      <w:r w:rsidRPr="00970CEF">
        <w:rPr>
          <w:rStyle w:val="EndnoteReference"/>
          <w:color w:val="000000" w:themeColor="text1"/>
          <w:sz w:val="20"/>
          <w:szCs w:val="20"/>
        </w:rPr>
        <w:endnoteRef/>
      </w:r>
      <w:r w:rsidRPr="00970CEF">
        <w:rPr>
          <w:color w:val="000000" w:themeColor="text1"/>
          <w:sz w:val="20"/>
          <w:szCs w:val="20"/>
        </w:rPr>
        <w:t xml:space="preserve"> The distance from </w:t>
      </w:r>
      <w:r w:rsidRPr="00970CEF">
        <w:rPr>
          <w:sz w:val="20"/>
          <w:szCs w:val="20"/>
        </w:rPr>
        <w:t>the GKM site on Cement Creek’s north fork to the New Mexico state line is 83-miles.  The Animas continues an additional 30-odd miles to its confluence with the San Juan River.  Since the completion of Glen Canyon Dam in 1963, the San Juan joins the Colorado at Lake Powell.</w:t>
      </w:r>
    </w:p>
    <w:p w14:paraId="317CD80A" w14:textId="77777777" w:rsidR="004C7347" w:rsidRPr="00970CEF" w:rsidRDefault="004C7347" w:rsidP="00612E5B">
      <w:pPr>
        <w:pStyle w:val="EndnoteText"/>
        <w:rPr>
          <w:sz w:val="20"/>
          <w:szCs w:val="20"/>
        </w:rPr>
      </w:pPr>
    </w:p>
  </w:endnote>
  <w:endnote w:id="6">
    <w:p w14:paraId="25A8B957" w14:textId="77777777" w:rsidR="004C7347" w:rsidRPr="00970CEF" w:rsidRDefault="004C7347" w:rsidP="00612E5B">
      <w:pPr>
        <w:pStyle w:val="EndnoteText"/>
        <w:rPr>
          <w:color w:val="000000" w:themeColor="text1"/>
          <w:sz w:val="20"/>
          <w:szCs w:val="20"/>
        </w:rPr>
      </w:pPr>
      <w:r w:rsidRPr="00970CEF">
        <w:rPr>
          <w:rStyle w:val="EndnoteReference"/>
          <w:color w:val="000000" w:themeColor="text1"/>
          <w:sz w:val="20"/>
          <w:szCs w:val="20"/>
        </w:rPr>
        <w:endnoteRef/>
      </w:r>
      <w:r w:rsidRPr="00970CEF">
        <w:rPr>
          <w:color w:val="000000" w:themeColor="text1"/>
          <w:sz w:val="20"/>
          <w:szCs w:val="20"/>
        </w:rPr>
        <w:t xml:space="preserve"> Chase Olivarius-Mcaallister, “Is Silverton Ready for a Cleanup?”, </w:t>
      </w:r>
      <w:r w:rsidRPr="00970CEF">
        <w:rPr>
          <w:i/>
          <w:color w:val="000000" w:themeColor="text1"/>
          <w:sz w:val="20"/>
          <w:szCs w:val="20"/>
        </w:rPr>
        <w:t>The Journal</w:t>
      </w:r>
      <w:r w:rsidRPr="00970CEF">
        <w:rPr>
          <w:color w:val="000000" w:themeColor="text1"/>
          <w:sz w:val="20"/>
          <w:szCs w:val="20"/>
        </w:rPr>
        <w:t xml:space="preserve">, accessed March 21, 2018, </w:t>
      </w:r>
      <w:hyperlink r:id="rId3" w:history="1">
        <w:r w:rsidRPr="00970CEF">
          <w:rPr>
            <w:rStyle w:val="Hyperlink"/>
            <w:color w:val="000000" w:themeColor="text1"/>
            <w:sz w:val="20"/>
            <w:szCs w:val="20"/>
          </w:rPr>
          <w:t>https://www.the-journal.com/articles/23931</w:t>
        </w:r>
      </w:hyperlink>
    </w:p>
    <w:p w14:paraId="54DB16DF" w14:textId="77777777" w:rsidR="004C7347" w:rsidRPr="00970CEF" w:rsidRDefault="004C7347" w:rsidP="00612E5B">
      <w:pPr>
        <w:pStyle w:val="EndnoteText"/>
        <w:rPr>
          <w:sz w:val="20"/>
          <w:szCs w:val="20"/>
        </w:rPr>
      </w:pPr>
    </w:p>
  </w:endnote>
  <w:endnote w:id="7">
    <w:p w14:paraId="1CF9DC6A" w14:textId="77777777" w:rsidR="00C4433D" w:rsidRPr="00970CEF" w:rsidRDefault="00C4433D" w:rsidP="00C4433D">
      <w:pPr>
        <w:pStyle w:val="EndnoteText"/>
        <w:rPr>
          <w:sz w:val="20"/>
          <w:szCs w:val="20"/>
        </w:rPr>
      </w:pPr>
      <w:r w:rsidRPr="00970CEF">
        <w:rPr>
          <w:rStyle w:val="EndnoteReference"/>
          <w:sz w:val="20"/>
          <w:szCs w:val="20"/>
        </w:rPr>
        <w:endnoteRef/>
      </w:r>
      <w:r w:rsidRPr="00970CEF">
        <w:rPr>
          <w:sz w:val="20"/>
          <w:szCs w:val="20"/>
        </w:rPr>
        <w:t xml:space="preserve"> An adit is a horizontal or near-horizontal opening to an underground mine used for entrance, ore removal, drainage, and/or ventilation.</w:t>
      </w:r>
    </w:p>
    <w:p w14:paraId="38899371" w14:textId="77777777" w:rsidR="00C4433D" w:rsidRPr="00970CEF" w:rsidRDefault="00C4433D" w:rsidP="00C4433D">
      <w:pPr>
        <w:pStyle w:val="EndnoteText"/>
        <w:rPr>
          <w:sz w:val="20"/>
          <w:szCs w:val="20"/>
        </w:rPr>
      </w:pPr>
    </w:p>
  </w:endnote>
  <w:endnote w:id="8">
    <w:p w14:paraId="10EA3417" w14:textId="77777777" w:rsidR="00C4433D" w:rsidRPr="00970CEF" w:rsidRDefault="00C4433D" w:rsidP="00C4433D">
      <w:pPr>
        <w:pStyle w:val="EndnoteText"/>
        <w:rPr>
          <w:sz w:val="20"/>
          <w:szCs w:val="20"/>
        </w:rPr>
      </w:pPr>
      <w:r w:rsidRPr="00970CEF">
        <w:rPr>
          <w:rStyle w:val="EndnoteReference"/>
          <w:sz w:val="20"/>
          <w:szCs w:val="20"/>
        </w:rPr>
        <w:endnoteRef/>
      </w:r>
      <w:r w:rsidRPr="00970CEF">
        <w:rPr>
          <w:sz w:val="20"/>
          <w:szCs w:val="20"/>
        </w:rPr>
        <w:t xml:space="preserve"> Anglers are especially affected by AMD and have become potent force in calling for restoration of abandoned sites.  Their main lobbying organization, Trout Unlimited, continues to devote significant resources to heighten awareness and promote legislation intended to facilitate cleanups.</w:t>
      </w:r>
    </w:p>
    <w:p w14:paraId="03DD0843" w14:textId="77777777" w:rsidR="00C4433D" w:rsidRPr="00970CEF" w:rsidRDefault="00C4433D" w:rsidP="00C4433D">
      <w:pPr>
        <w:pStyle w:val="EndnoteText"/>
        <w:rPr>
          <w:sz w:val="20"/>
          <w:szCs w:val="20"/>
        </w:rPr>
      </w:pPr>
    </w:p>
  </w:endnote>
  <w:endnote w:id="9">
    <w:p w14:paraId="1E13B752" w14:textId="77777777" w:rsidR="00C0162E" w:rsidRPr="00C0162E" w:rsidRDefault="00C0162E" w:rsidP="00C0162E">
      <w:pPr>
        <w:rPr>
          <w:rFonts w:eastAsia="Times New Roman"/>
          <w:color w:val="000000" w:themeColor="text1"/>
          <w:sz w:val="20"/>
          <w:szCs w:val="20"/>
        </w:rPr>
      </w:pPr>
      <w:r w:rsidRPr="00C0162E">
        <w:rPr>
          <w:rStyle w:val="EndnoteReference"/>
          <w:color w:val="000000" w:themeColor="text1"/>
          <w:sz w:val="20"/>
          <w:szCs w:val="20"/>
        </w:rPr>
        <w:endnoteRef/>
      </w:r>
      <w:r w:rsidRPr="00C0162E">
        <w:rPr>
          <w:color w:val="000000" w:themeColor="text1"/>
          <w:sz w:val="20"/>
          <w:szCs w:val="20"/>
        </w:rPr>
        <w:t xml:space="preserve"> Matthew Brown, “50 Million Gallons of Polluted Water Pours Daily from U.S. Mine Sites”, </w:t>
      </w:r>
      <w:r w:rsidRPr="00C0162E">
        <w:rPr>
          <w:i/>
          <w:color w:val="000000" w:themeColor="text1"/>
          <w:sz w:val="20"/>
          <w:szCs w:val="20"/>
        </w:rPr>
        <w:t>The Durango Herald</w:t>
      </w:r>
      <w:r w:rsidRPr="00C0162E">
        <w:rPr>
          <w:color w:val="000000" w:themeColor="text1"/>
          <w:sz w:val="20"/>
          <w:szCs w:val="20"/>
        </w:rPr>
        <w:t xml:space="preserve">, accessed April 9, 2019, </w:t>
      </w:r>
      <w:hyperlink r:id="rId4" w:history="1">
        <w:r w:rsidRPr="00C0162E">
          <w:rPr>
            <w:rStyle w:val="Hyperlink"/>
            <w:color w:val="000000" w:themeColor="text1"/>
            <w:sz w:val="20"/>
            <w:szCs w:val="20"/>
          </w:rPr>
          <w:t>https://durangoherald.com/articles/265020-50-million-gallons-of-polluted-water-pours-daily-from-us-mine-sites</w:t>
        </w:r>
      </w:hyperlink>
    </w:p>
    <w:p w14:paraId="7DCD05F4" w14:textId="1BE2BE91" w:rsidR="00C0162E" w:rsidRPr="00C0162E" w:rsidRDefault="00C0162E">
      <w:pPr>
        <w:pStyle w:val="EndnoteText"/>
        <w:rPr>
          <w:color w:val="000000" w:themeColor="text1"/>
          <w:sz w:val="20"/>
          <w:szCs w:val="20"/>
        </w:rPr>
      </w:pPr>
    </w:p>
  </w:endnote>
  <w:endnote w:id="10">
    <w:p w14:paraId="69F5BAD1" w14:textId="77777777" w:rsidR="00CD04CD" w:rsidRPr="00970CEF" w:rsidRDefault="00CD04CD" w:rsidP="00CD04CD">
      <w:pPr>
        <w:rPr>
          <w:rFonts w:eastAsia="Times New Roman" w:cs="Times New Roman"/>
          <w:sz w:val="20"/>
          <w:szCs w:val="20"/>
        </w:rPr>
      </w:pPr>
      <w:r w:rsidRPr="00C0162E">
        <w:rPr>
          <w:rStyle w:val="EndnoteReference"/>
          <w:color w:val="000000" w:themeColor="text1"/>
          <w:sz w:val="20"/>
          <w:szCs w:val="20"/>
        </w:rPr>
        <w:endnoteRef/>
      </w:r>
      <w:r w:rsidRPr="00C0162E">
        <w:rPr>
          <w:color w:val="000000" w:themeColor="text1"/>
          <w:sz w:val="20"/>
          <w:szCs w:val="20"/>
        </w:rPr>
        <w:t xml:space="preserve"> </w:t>
      </w:r>
      <w:r w:rsidRPr="00C0162E">
        <w:rPr>
          <w:rFonts w:cs="Arial"/>
          <w:color w:val="000000" w:themeColor="text1"/>
          <w:sz w:val="20"/>
          <w:szCs w:val="20"/>
        </w:rPr>
        <w:t xml:space="preserve">The pace of policy </w:t>
      </w:r>
      <w:r w:rsidRPr="00970CEF">
        <w:rPr>
          <w:rFonts w:cs="Arial"/>
          <w:sz w:val="20"/>
          <w:szCs w:val="20"/>
        </w:rPr>
        <w:t xml:space="preserve">development increased in 1976, when </w:t>
      </w:r>
      <w:r w:rsidRPr="00970CEF">
        <w:rPr>
          <w:rFonts w:eastAsia="Times New Roman" w:cstheme="minorHAnsi"/>
          <w:color w:val="000000" w:themeColor="text1"/>
          <w:sz w:val="20"/>
          <w:szCs w:val="20"/>
        </w:rPr>
        <w:t xml:space="preserve">the Colorado Mined Land Reclamation Division was created to regulate non-coal mining operations. The same year, the Colorado General Assembly passed the Colorado Mined Land Reclamation Act, which created the Mined Land Reclamation Board to serve in administrative and adjudicatory capacities over non-coal mines.  </w:t>
      </w:r>
    </w:p>
    <w:p w14:paraId="130CD1D9" w14:textId="77777777" w:rsidR="00CD04CD" w:rsidRPr="00970CEF" w:rsidRDefault="00CD04CD" w:rsidP="00CD04CD">
      <w:pPr>
        <w:pStyle w:val="EndnoteText"/>
        <w:rPr>
          <w:sz w:val="20"/>
          <w:szCs w:val="20"/>
        </w:rPr>
      </w:pPr>
    </w:p>
  </w:endnote>
  <w:endnote w:id="11">
    <w:p w14:paraId="6A58A22F" w14:textId="7D4123B8" w:rsidR="004C7347" w:rsidRPr="003544AC" w:rsidRDefault="004C7347" w:rsidP="00EA4710">
      <w:pPr>
        <w:rPr>
          <w:rFonts w:ascii="Times New Roman" w:eastAsia="Times New Roman" w:hAnsi="Times New Roman" w:cs="Times New Roman"/>
          <w:color w:val="000000" w:themeColor="text1"/>
          <w:sz w:val="20"/>
          <w:szCs w:val="20"/>
        </w:rPr>
      </w:pPr>
      <w:r w:rsidRPr="008759C8">
        <w:rPr>
          <w:rStyle w:val="EndnoteReference"/>
          <w:sz w:val="20"/>
          <w:szCs w:val="20"/>
        </w:rPr>
        <w:endnoteRef/>
      </w:r>
      <w:r w:rsidRPr="008759C8">
        <w:rPr>
          <w:sz w:val="20"/>
          <w:szCs w:val="20"/>
        </w:rPr>
        <w:t xml:space="preserve"> The</w:t>
      </w:r>
      <w:r>
        <w:rPr>
          <w:sz w:val="20"/>
          <w:szCs w:val="20"/>
        </w:rPr>
        <w:t xml:space="preserve"> shortest time between proposal and official NPL listing in Colorado was 130-days, for the</w:t>
      </w:r>
      <w:r w:rsidRPr="008759C8">
        <w:rPr>
          <w:sz w:val="20"/>
          <w:szCs w:val="20"/>
        </w:rPr>
        <w:t xml:space="preserve"> Air Force Plant PJKS (</w:t>
      </w:r>
      <w:r w:rsidRPr="008759C8">
        <w:rPr>
          <w:rFonts w:eastAsia="Times New Roman" w:cs="Times New Roman"/>
          <w:color w:val="212121"/>
          <w:sz w:val="20"/>
          <w:szCs w:val="20"/>
          <w:shd w:val="clear" w:color="auto" w:fill="FFFFFF"/>
        </w:rPr>
        <w:t xml:space="preserve">Peter J. Kiewit and Sons) </w:t>
      </w:r>
      <w:r>
        <w:rPr>
          <w:rFonts w:eastAsia="Times New Roman" w:cs="Times New Roman"/>
          <w:color w:val="212121"/>
          <w:sz w:val="20"/>
          <w:szCs w:val="20"/>
          <w:shd w:val="clear" w:color="auto" w:fill="FFFFFF"/>
        </w:rPr>
        <w:t xml:space="preserve">federal site. Cleanup and construction activities were completed by February 2014; the site is </w:t>
      </w:r>
      <w:r w:rsidRPr="008759C8">
        <w:rPr>
          <w:rFonts w:eastAsia="Times New Roman" w:cs="Times New Roman"/>
          <w:color w:val="212121"/>
          <w:sz w:val="20"/>
          <w:szCs w:val="20"/>
          <w:shd w:val="clear" w:color="auto" w:fill="FFFFFF"/>
        </w:rPr>
        <w:t>currently owned and operated by Lockheed Martin Astronautics Operation. The</w:t>
      </w:r>
      <w:r w:rsidRPr="00A55803">
        <w:rPr>
          <w:rFonts w:eastAsia="Times New Roman" w:cs="Times New Roman"/>
          <w:color w:val="212121"/>
          <w:sz w:val="20"/>
          <w:szCs w:val="20"/>
          <w:shd w:val="clear" w:color="auto" w:fill="FFFFFF"/>
        </w:rPr>
        <w:t xml:space="preserve"> </w:t>
      </w:r>
      <w:r>
        <w:rPr>
          <w:rFonts w:eastAsia="Times New Roman" w:cs="Times New Roman"/>
          <w:color w:val="212121"/>
          <w:sz w:val="20"/>
          <w:szCs w:val="20"/>
          <w:shd w:val="clear" w:color="auto" w:fill="FFFFFF"/>
        </w:rPr>
        <w:t xml:space="preserve">464-acre </w:t>
      </w:r>
      <w:r w:rsidRPr="00A55803">
        <w:rPr>
          <w:rFonts w:eastAsia="Times New Roman" w:cs="Times New Roman"/>
          <w:color w:val="212121"/>
          <w:sz w:val="20"/>
          <w:szCs w:val="20"/>
          <w:shd w:val="clear" w:color="auto" w:fill="FFFFFF"/>
        </w:rPr>
        <w:t>plant is located 25</w:t>
      </w:r>
      <w:r>
        <w:rPr>
          <w:rFonts w:eastAsia="Times New Roman" w:cs="Times New Roman"/>
          <w:color w:val="212121"/>
          <w:sz w:val="20"/>
          <w:szCs w:val="20"/>
          <w:shd w:val="clear" w:color="auto" w:fill="FFFFFF"/>
        </w:rPr>
        <w:t>-</w:t>
      </w:r>
      <w:r w:rsidRPr="003544AC">
        <w:rPr>
          <w:rFonts w:eastAsia="Times New Roman" w:cs="Times New Roman"/>
          <w:color w:val="000000" w:themeColor="text1"/>
          <w:sz w:val="20"/>
          <w:szCs w:val="20"/>
          <w:shd w:val="clear" w:color="auto" w:fill="FFFFFF"/>
        </w:rPr>
        <w:t>miles southwest of Denver and is surrounded by another 4,700 acres of Lockheed Martin property. Operations at PJKS included testing Titan rockets, as well as design</w:t>
      </w:r>
      <w:r>
        <w:rPr>
          <w:rFonts w:eastAsia="Times New Roman" w:cs="Times New Roman"/>
          <w:color w:val="000000" w:themeColor="text1"/>
          <w:sz w:val="20"/>
          <w:szCs w:val="20"/>
          <w:shd w:val="clear" w:color="auto" w:fill="FFFFFF"/>
        </w:rPr>
        <w:t xml:space="preserve"> </w:t>
      </w:r>
      <w:r w:rsidRPr="003544AC">
        <w:rPr>
          <w:rFonts w:eastAsia="Times New Roman" w:cs="Times New Roman"/>
          <w:color w:val="000000" w:themeColor="text1"/>
          <w:sz w:val="20"/>
          <w:szCs w:val="20"/>
          <w:shd w:val="clear" w:color="auto" w:fill="FFFFFF"/>
        </w:rPr>
        <w:t xml:space="preserve">and manufacture of technical systems for space and defense. </w:t>
      </w:r>
    </w:p>
    <w:p w14:paraId="6552D1CC" w14:textId="77777777" w:rsidR="004C7347" w:rsidRPr="003544AC" w:rsidRDefault="004C7347" w:rsidP="00EA4710">
      <w:pPr>
        <w:pStyle w:val="EndnoteText"/>
        <w:rPr>
          <w:color w:val="000000" w:themeColor="text1"/>
          <w:sz w:val="20"/>
          <w:szCs w:val="20"/>
        </w:rPr>
      </w:pPr>
    </w:p>
  </w:endnote>
  <w:endnote w:id="12">
    <w:p w14:paraId="3D3E49E3" w14:textId="48B5B081" w:rsidR="004C7347" w:rsidRPr="003544AC" w:rsidRDefault="004C7347">
      <w:pPr>
        <w:pStyle w:val="EndnoteText"/>
        <w:rPr>
          <w:color w:val="000000" w:themeColor="text1"/>
          <w:sz w:val="20"/>
          <w:szCs w:val="20"/>
        </w:rPr>
      </w:pPr>
      <w:r w:rsidRPr="003544AC">
        <w:rPr>
          <w:rStyle w:val="EndnoteReference"/>
          <w:color w:val="000000" w:themeColor="text1"/>
          <w:sz w:val="20"/>
          <w:szCs w:val="20"/>
        </w:rPr>
        <w:endnoteRef/>
      </w:r>
      <w:r w:rsidRPr="003544AC">
        <w:rPr>
          <w:color w:val="000000" w:themeColor="text1"/>
          <w:sz w:val="20"/>
          <w:szCs w:val="20"/>
        </w:rPr>
        <w:t xml:space="preserve"> For information about stages of NPL listing, see:  </w:t>
      </w:r>
      <w:hyperlink r:id="rId5" w:history="1">
        <w:r w:rsidRPr="003544AC">
          <w:rPr>
            <w:rStyle w:val="Hyperlink"/>
            <w:color w:val="000000" w:themeColor="text1"/>
            <w:sz w:val="20"/>
            <w:szCs w:val="20"/>
          </w:rPr>
          <w:t>https://www.epa.gov/superfund/superfund-cleanup-process</w:t>
        </w:r>
      </w:hyperlink>
    </w:p>
    <w:p w14:paraId="72EAC405" w14:textId="77777777" w:rsidR="004C7347" w:rsidRPr="003544AC" w:rsidRDefault="004C7347">
      <w:pPr>
        <w:pStyle w:val="EndnoteText"/>
        <w:rPr>
          <w:color w:val="000000" w:themeColor="text1"/>
          <w:sz w:val="20"/>
          <w:szCs w:val="20"/>
        </w:rPr>
      </w:pPr>
    </w:p>
  </w:endnote>
  <w:endnote w:id="13">
    <w:p w14:paraId="54128743" w14:textId="77777777" w:rsidR="004C7347" w:rsidRPr="003544AC" w:rsidRDefault="004C7347" w:rsidP="00C54A11">
      <w:pPr>
        <w:rPr>
          <w:rFonts w:eastAsia="Times New Roman"/>
          <w:color w:val="000000" w:themeColor="text1"/>
          <w:sz w:val="20"/>
          <w:szCs w:val="20"/>
        </w:rPr>
      </w:pPr>
      <w:r w:rsidRPr="003544AC">
        <w:rPr>
          <w:rStyle w:val="EndnoteReference"/>
          <w:color w:val="000000" w:themeColor="text1"/>
          <w:sz w:val="20"/>
          <w:szCs w:val="20"/>
        </w:rPr>
        <w:endnoteRef/>
      </w:r>
      <w:r w:rsidRPr="003544AC">
        <w:rPr>
          <w:color w:val="000000" w:themeColor="text1"/>
          <w:sz w:val="20"/>
          <w:szCs w:val="20"/>
        </w:rPr>
        <w:t xml:space="preserve"> See public comments made in response to EPA’s proposed NPL listing at:  </w:t>
      </w:r>
      <w:hyperlink r:id="rId6" w:history="1">
        <w:r w:rsidRPr="003544AC">
          <w:rPr>
            <w:rStyle w:val="Hyperlink"/>
            <w:color w:val="000000" w:themeColor="text1"/>
            <w:sz w:val="20"/>
            <w:szCs w:val="20"/>
          </w:rPr>
          <w:t>https://semspub.epa.gov/work/08/1570791.pdf</w:t>
        </w:r>
      </w:hyperlink>
    </w:p>
    <w:p w14:paraId="65DC06A1" w14:textId="77777777" w:rsidR="004C7347" w:rsidRDefault="004C7347" w:rsidP="00C54A11">
      <w:pPr>
        <w:pStyle w:val="EndnoteText"/>
      </w:pPr>
    </w:p>
  </w:endnote>
  <w:endnote w:id="14">
    <w:p w14:paraId="4943BC2D" w14:textId="77777777" w:rsidR="004C7347" w:rsidRPr="00B1634A" w:rsidRDefault="004C7347" w:rsidP="00450D59">
      <w:pPr>
        <w:rPr>
          <w:rFonts w:eastAsia="Times New Roman"/>
          <w:color w:val="000000" w:themeColor="text1"/>
          <w:sz w:val="20"/>
          <w:szCs w:val="20"/>
        </w:rPr>
      </w:pPr>
      <w:r w:rsidRPr="00B1634A">
        <w:rPr>
          <w:rStyle w:val="EndnoteReference"/>
          <w:color w:val="000000" w:themeColor="text1"/>
          <w:sz w:val="20"/>
          <w:szCs w:val="20"/>
        </w:rPr>
        <w:endnoteRef/>
      </w:r>
      <w:r w:rsidRPr="00B1634A">
        <w:rPr>
          <w:color w:val="000000" w:themeColor="text1"/>
          <w:sz w:val="20"/>
          <w:szCs w:val="20"/>
        </w:rPr>
        <w:t xml:space="preserve"> See public comments made in response to EPA’s proposed NPL listing at:  </w:t>
      </w:r>
      <w:hyperlink r:id="rId7" w:history="1">
        <w:r w:rsidRPr="00B1634A">
          <w:rPr>
            <w:rStyle w:val="Hyperlink"/>
            <w:color w:val="000000" w:themeColor="text1"/>
            <w:sz w:val="20"/>
            <w:szCs w:val="20"/>
          </w:rPr>
          <w:t>https://semspub.epa.gov/work/08/1570791.pdf</w:t>
        </w:r>
      </w:hyperlink>
    </w:p>
    <w:p w14:paraId="3FDE04DA" w14:textId="77777777" w:rsidR="004C7347" w:rsidRPr="00B1634A" w:rsidRDefault="004C7347">
      <w:pPr>
        <w:pStyle w:val="EndnoteText"/>
        <w:rPr>
          <w:color w:val="000000" w:themeColor="text1"/>
          <w:sz w:val="20"/>
          <w:szCs w:val="20"/>
        </w:rPr>
      </w:pPr>
    </w:p>
  </w:endnote>
  <w:endnote w:id="15">
    <w:p w14:paraId="14A1E4A3" w14:textId="77777777" w:rsidR="004C7347" w:rsidRPr="00B1634A" w:rsidRDefault="004C7347" w:rsidP="00162EC0">
      <w:pPr>
        <w:pStyle w:val="EndnoteText"/>
        <w:rPr>
          <w:color w:val="000000" w:themeColor="text1"/>
          <w:sz w:val="20"/>
          <w:szCs w:val="20"/>
        </w:rPr>
      </w:pPr>
      <w:r w:rsidRPr="00B1634A">
        <w:rPr>
          <w:rStyle w:val="EndnoteReference"/>
          <w:color w:val="000000" w:themeColor="text1"/>
          <w:sz w:val="20"/>
          <w:szCs w:val="20"/>
        </w:rPr>
        <w:endnoteRef/>
      </w:r>
      <w:r w:rsidRPr="00B1634A">
        <w:rPr>
          <w:color w:val="000000" w:themeColor="text1"/>
          <w:sz w:val="20"/>
          <w:szCs w:val="20"/>
        </w:rPr>
        <w:t xml:space="preserve"> </w:t>
      </w:r>
      <w:r w:rsidRPr="00B1634A">
        <w:rPr>
          <w:i/>
          <w:color w:val="000000" w:themeColor="text1"/>
          <w:sz w:val="20"/>
          <w:szCs w:val="20"/>
        </w:rPr>
        <w:t xml:space="preserve">The Denver </w:t>
      </w:r>
      <w:r w:rsidRPr="00B1634A">
        <w:rPr>
          <w:color w:val="000000" w:themeColor="text1"/>
          <w:sz w:val="20"/>
          <w:szCs w:val="20"/>
        </w:rPr>
        <w:t xml:space="preserve">Post printed 179 articles containing the phrase “Gold King Mine” between 2015 and 2016.  A quick search of </w:t>
      </w:r>
      <w:r w:rsidRPr="00B1634A">
        <w:rPr>
          <w:i/>
          <w:color w:val="000000" w:themeColor="text1"/>
          <w:sz w:val="20"/>
          <w:szCs w:val="20"/>
        </w:rPr>
        <w:t xml:space="preserve">The New York Times </w:t>
      </w:r>
      <w:r w:rsidRPr="00B1634A">
        <w:rPr>
          <w:color w:val="000000" w:themeColor="text1"/>
          <w:sz w:val="20"/>
          <w:szCs w:val="20"/>
        </w:rPr>
        <w:t xml:space="preserve">online archive yielded 18 articles published between August 7, 2015 and April 3, 2017.   The online archives of </w:t>
      </w:r>
      <w:r w:rsidRPr="00B1634A">
        <w:rPr>
          <w:i/>
          <w:color w:val="000000" w:themeColor="text1"/>
          <w:sz w:val="20"/>
          <w:szCs w:val="20"/>
        </w:rPr>
        <w:t>The Washington Post</w:t>
      </w:r>
      <w:r w:rsidRPr="00B1634A">
        <w:rPr>
          <w:color w:val="000000" w:themeColor="text1"/>
          <w:sz w:val="20"/>
          <w:szCs w:val="20"/>
        </w:rPr>
        <w:t xml:space="preserve"> contained two articles published between August 10 and August 13, 2015 and the </w:t>
      </w:r>
      <w:r w:rsidRPr="00B1634A">
        <w:rPr>
          <w:i/>
          <w:color w:val="000000" w:themeColor="text1"/>
          <w:sz w:val="20"/>
          <w:szCs w:val="20"/>
        </w:rPr>
        <w:t xml:space="preserve">Los Angeles Times </w:t>
      </w:r>
      <w:r w:rsidRPr="00B1634A">
        <w:rPr>
          <w:color w:val="000000" w:themeColor="text1"/>
          <w:sz w:val="20"/>
          <w:szCs w:val="20"/>
        </w:rPr>
        <w:t>had 18 articles published between August 8, 2015 and September 9, 2016.</w:t>
      </w:r>
    </w:p>
    <w:p w14:paraId="21CCF225" w14:textId="77777777" w:rsidR="004C7347" w:rsidRPr="00B1634A" w:rsidRDefault="004C7347" w:rsidP="00162EC0">
      <w:pPr>
        <w:pStyle w:val="EndnoteText"/>
        <w:rPr>
          <w:color w:val="000000" w:themeColor="text1"/>
          <w:sz w:val="20"/>
          <w:szCs w:val="20"/>
        </w:rPr>
      </w:pPr>
    </w:p>
  </w:endnote>
  <w:endnote w:id="16">
    <w:p w14:paraId="4E72405F" w14:textId="77777777" w:rsidR="004C7347" w:rsidRPr="00B1634A" w:rsidRDefault="004C7347" w:rsidP="00162EC0">
      <w:pPr>
        <w:pStyle w:val="Heading1"/>
        <w:spacing w:before="0" w:beforeAutospacing="0" w:after="225" w:afterAutospacing="0"/>
        <w:rPr>
          <w:rFonts w:asciiTheme="minorHAnsi" w:hAnsiTheme="minorHAnsi"/>
          <w:b w:val="0"/>
          <w:color w:val="000000" w:themeColor="text1"/>
          <w:sz w:val="20"/>
          <w:szCs w:val="20"/>
        </w:rPr>
      </w:pPr>
      <w:r w:rsidRPr="00B1634A">
        <w:rPr>
          <w:rStyle w:val="EndnoteReference"/>
          <w:rFonts w:asciiTheme="minorHAnsi" w:hAnsiTheme="minorHAnsi"/>
          <w:b w:val="0"/>
          <w:color w:val="000000" w:themeColor="text1"/>
          <w:sz w:val="20"/>
          <w:szCs w:val="20"/>
        </w:rPr>
        <w:endnoteRef/>
      </w:r>
      <w:r w:rsidRPr="00B1634A">
        <w:rPr>
          <w:rFonts w:asciiTheme="minorHAnsi" w:hAnsiTheme="minorHAnsi"/>
          <w:b w:val="0"/>
          <w:color w:val="000000" w:themeColor="text1"/>
          <w:sz w:val="20"/>
          <w:szCs w:val="20"/>
        </w:rPr>
        <w:t xml:space="preserve">  Zoe Schlanger, “The Year in Pollution: Here are the Nastiest Cases of Toxic Discharge in 2015”, </w:t>
      </w:r>
      <w:r w:rsidRPr="00B1634A">
        <w:rPr>
          <w:rFonts w:asciiTheme="minorHAnsi" w:hAnsiTheme="minorHAnsi"/>
          <w:b w:val="0"/>
          <w:i/>
          <w:color w:val="000000" w:themeColor="text1"/>
          <w:sz w:val="20"/>
          <w:szCs w:val="20"/>
        </w:rPr>
        <w:t>Newsweek</w:t>
      </w:r>
      <w:r w:rsidRPr="00B1634A">
        <w:rPr>
          <w:rFonts w:asciiTheme="minorHAnsi" w:hAnsiTheme="minorHAnsi"/>
          <w:b w:val="0"/>
          <w:color w:val="000000" w:themeColor="text1"/>
          <w:sz w:val="20"/>
          <w:szCs w:val="20"/>
        </w:rPr>
        <w:t xml:space="preserve">, last modified January 1, 2016, </w:t>
      </w:r>
      <w:hyperlink r:id="rId8" w:history="1">
        <w:r w:rsidRPr="00B1634A">
          <w:rPr>
            <w:rStyle w:val="Hyperlink"/>
            <w:rFonts w:asciiTheme="minorHAnsi" w:hAnsiTheme="minorHAnsi"/>
            <w:b w:val="0"/>
            <w:color w:val="000000" w:themeColor="text1"/>
            <w:sz w:val="20"/>
            <w:szCs w:val="20"/>
          </w:rPr>
          <w:t>http://www.newsweek.com/year-pollution-here-are-nastiest-cases-toxic-discharge-2015-410766</w:t>
        </w:r>
      </w:hyperlink>
    </w:p>
  </w:endnote>
  <w:endnote w:id="17">
    <w:p w14:paraId="101C4891" w14:textId="77777777" w:rsidR="004C7347" w:rsidRPr="00B1634A" w:rsidRDefault="004C7347" w:rsidP="00162EC0">
      <w:pPr>
        <w:pStyle w:val="EndnoteText"/>
        <w:rPr>
          <w:color w:val="000000" w:themeColor="text1"/>
          <w:sz w:val="20"/>
          <w:szCs w:val="20"/>
        </w:rPr>
      </w:pPr>
      <w:r w:rsidRPr="00B1634A">
        <w:rPr>
          <w:rStyle w:val="EndnoteReference"/>
          <w:color w:val="000000" w:themeColor="text1"/>
          <w:sz w:val="20"/>
          <w:szCs w:val="20"/>
        </w:rPr>
        <w:endnoteRef/>
      </w:r>
      <w:r w:rsidRPr="00B1634A">
        <w:rPr>
          <w:color w:val="000000" w:themeColor="text1"/>
          <w:sz w:val="20"/>
          <w:szCs w:val="20"/>
        </w:rPr>
        <w:t xml:space="preserve"> Greg Kendall-Ball, “Why this Colorado Creek Suddenly Looks Like a Million Gallons of Filthy Yellow Mustard, </w:t>
      </w:r>
      <w:r w:rsidRPr="00B1634A">
        <w:rPr>
          <w:i/>
          <w:color w:val="000000" w:themeColor="text1"/>
          <w:sz w:val="20"/>
          <w:szCs w:val="20"/>
        </w:rPr>
        <w:t xml:space="preserve">Washington </w:t>
      </w:r>
      <w:r w:rsidRPr="00B1634A">
        <w:rPr>
          <w:color w:val="000000" w:themeColor="text1"/>
          <w:sz w:val="20"/>
          <w:szCs w:val="20"/>
        </w:rPr>
        <w:t>Post, accessed August 7, 2015,  https://www.washingtonpost.com/news/morning-mix/wp/2015/08/07/clean-up-team-accidentally-sends-1-million-gallons-of-mine-waste-into-colorado-river/?noredirect=on&amp;utm_term=.88f7bf5831fa</w:t>
      </w:r>
    </w:p>
    <w:p w14:paraId="2818A42A" w14:textId="77777777" w:rsidR="004C7347" w:rsidRPr="00B1634A" w:rsidRDefault="004C7347" w:rsidP="00162EC0">
      <w:pPr>
        <w:pStyle w:val="EndnoteText"/>
        <w:rPr>
          <w:color w:val="000000" w:themeColor="text1"/>
          <w:sz w:val="20"/>
          <w:szCs w:val="20"/>
        </w:rPr>
      </w:pPr>
    </w:p>
  </w:endnote>
  <w:endnote w:id="18">
    <w:p w14:paraId="545EAFA8" w14:textId="77777777" w:rsidR="004C7347" w:rsidRPr="00B1634A" w:rsidRDefault="004C7347" w:rsidP="00162EC0">
      <w:pPr>
        <w:pStyle w:val="EndnoteText"/>
        <w:rPr>
          <w:color w:val="000000" w:themeColor="text1"/>
          <w:sz w:val="20"/>
          <w:szCs w:val="20"/>
        </w:rPr>
      </w:pPr>
      <w:r w:rsidRPr="00B1634A">
        <w:rPr>
          <w:rStyle w:val="EndnoteReference"/>
          <w:color w:val="000000" w:themeColor="text1"/>
          <w:sz w:val="20"/>
          <w:szCs w:val="20"/>
        </w:rPr>
        <w:endnoteRef/>
      </w:r>
      <w:r w:rsidRPr="00B1634A">
        <w:rPr>
          <w:color w:val="000000" w:themeColor="text1"/>
          <w:sz w:val="20"/>
          <w:szCs w:val="20"/>
        </w:rPr>
        <w:t xml:space="preserve"> Art Pendergast, “Animas River Disaster:  Problems at Mine Site Date Back Decades”, </w:t>
      </w:r>
      <w:r w:rsidRPr="00B1634A">
        <w:rPr>
          <w:i/>
          <w:color w:val="000000" w:themeColor="text1"/>
          <w:sz w:val="20"/>
          <w:szCs w:val="20"/>
        </w:rPr>
        <w:t>Westword</w:t>
      </w:r>
      <w:r w:rsidRPr="00B1634A">
        <w:rPr>
          <w:color w:val="000000" w:themeColor="text1"/>
          <w:sz w:val="20"/>
          <w:szCs w:val="20"/>
        </w:rPr>
        <w:t xml:space="preserve">, August 12, 2015, </w:t>
      </w:r>
      <w:hyperlink r:id="rId9" w:history="1">
        <w:r w:rsidRPr="00B1634A">
          <w:rPr>
            <w:rStyle w:val="Hyperlink"/>
            <w:color w:val="000000" w:themeColor="text1"/>
            <w:sz w:val="20"/>
            <w:szCs w:val="20"/>
          </w:rPr>
          <w:t>http://www.westword.com/news/animas-river-disaster-problems-at-mine-site-date-back-decades-7021433</w:t>
        </w:r>
      </w:hyperlink>
    </w:p>
    <w:p w14:paraId="4F85960C" w14:textId="77777777" w:rsidR="004C7347" w:rsidRPr="00256375" w:rsidRDefault="004C7347" w:rsidP="00162EC0">
      <w:pPr>
        <w:pStyle w:val="EndnoteText"/>
        <w:rPr>
          <w:sz w:val="20"/>
          <w:szCs w:val="20"/>
        </w:rPr>
      </w:pPr>
    </w:p>
  </w:endnote>
  <w:endnote w:id="19">
    <w:p w14:paraId="52DA3847" w14:textId="77777777" w:rsidR="004C7347" w:rsidRPr="00256375" w:rsidRDefault="004C7347" w:rsidP="00162EC0">
      <w:pPr>
        <w:pStyle w:val="EndnoteText"/>
        <w:rPr>
          <w:rFonts w:cs="Baskerville SemiBold Italic"/>
          <w:sz w:val="20"/>
          <w:szCs w:val="20"/>
        </w:rPr>
      </w:pPr>
      <w:r w:rsidRPr="00256375">
        <w:rPr>
          <w:rStyle w:val="EndnoteReference"/>
          <w:sz w:val="20"/>
          <w:szCs w:val="20"/>
        </w:rPr>
        <w:endnoteRef/>
      </w:r>
      <w:r w:rsidRPr="00256375">
        <w:rPr>
          <w:sz w:val="20"/>
          <w:szCs w:val="20"/>
        </w:rPr>
        <w:t xml:space="preserve"> Ibid.  Kodas currently serves as </w:t>
      </w:r>
      <w:r w:rsidRPr="00256375">
        <w:rPr>
          <w:rFonts w:cs="Baskerville SemiBold Italic"/>
          <w:sz w:val="20"/>
          <w:szCs w:val="20"/>
        </w:rPr>
        <w:t>Associate Director at the Center for Environmental Journalism at the University of Colorado.</w:t>
      </w:r>
    </w:p>
    <w:p w14:paraId="18ADE78B" w14:textId="77777777" w:rsidR="004C7347" w:rsidRPr="006E4DD2" w:rsidRDefault="004C7347" w:rsidP="00162EC0">
      <w:pPr>
        <w:pStyle w:val="EndnoteText"/>
        <w:rPr>
          <w:sz w:val="20"/>
          <w:szCs w:val="20"/>
        </w:rPr>
      </w:pPr>
    </w:p>
  </w:endnote>
  <w:endnote w:id="20">
    <w:p w14:paraId="3110F437" w14:textId="0F364B43" w:rsidR="004C7347" w:rsidRPr="00434A4B" w:rsidRDefault="004C7347" w:rsidP="00434A4B">
      <w:pPr>
        <w:rPr>
          <w:rFonts w:eastAsia="Times New Roman" w:cstheme="minorHAnsi"/>
          <w:color w:val="000000" w:themeColor="text1"/>
          <w:sz w:val="20"/>
          <w:szCs w:val="20"/>
        </w:rPr>
      </w:pPr>
      <w:r w:rsidRPr="00434A4B">
        <w:rPr>
          <w:rStyle w:val="EndnoteReference"/>
          <w:rFonts w:cstheme="minorHAnsi"/>
          <w:color w:val="000000" w:themeColor="text1"/>
          <w:sz w:val="20"/>
          <w:szCs w:val="20"/>
        </w:rPr>
        <w:endnoteRef/>
      </w:r>
      <w:r w:rsidRPr="00434A4B">
        <w:rPr>
          <w:rFonts w:cstheme="minorHAnsi"/>
          <w:color w:val="000000" w:themeColor="text1"/>
          <w:sz w:val="20"/>
          <w:szCs w:val="20"/>
        </w:rPr>
        <w:t xml:space="preserve"> “Animas River 2015 Benthic Macroinvertebrate (BMI) Report: Gold King Mine Release Monitoring”, Mountain Studies Institute, accessed April 6, 2019, </w:t>
      </w:r>
      <w:hyperlink r:id="rId10" w:history="1">
        <w:r w:rsidRPr="00434A4B">
          <w:rPr>
            <w:rStyle w:val="Hyperlink"/>
            <w:rFonts w:cstheme="minorHAnsi"/>
            <w:color w:val="000000" w:themeColor="text1"/>
            <w:sz w:val="20"/>
            <w:szCs w:val="20"/>
          </w:rPr>
          <w:t>https://static1.squarespace.com/static/53bc5871e4b095b6a42949b4/t/5a0caf2ef9619a2a369292d4/1510780794119/EPA_BMI_Report_20170309.pdf</w:t>
        </w:r>
      </w:hyperlink>
    </w:p>
    <w:p w14:paraId="5F7F52AE" w14:textId="67E23F64" w:rsidR="004C7347" w:rsidRDefault="004C7347">
      <w:pPr>
        <w:pStyle w:val="EndnoteText"/>
      </w:pPr>
    </w:p>
  </w:endnote>
  <w:endnote w:id="21">
    <w:p w14:paraId="1DD34834" w14:textId="04011816" w:rsidR="004C7347" w:rsidRDefault="004C7347" w:rsidP="00540F6A">
      <w:pPr>
        <w:pStyle w:val="NoSpacing"/>
        <w:rPr>
          <w:rStyle w:val="Hyperlink"/>
          <w:color w:val="000000" w:themeColor="text1"/>
          <w:sz w:val="20"/>
          <w:szCs w:val="20"/>
        </w:rPr>
      </w:pPr>
      <w:r w:rsidRPr="003C66A7">
        <w:rPr>
          <w:rStyle w:val="EndnoteReference"/>
          <w:sz w:val="20"/>
          <w:szCs w:val="20"/>
        </w:rPr>
        <w:endnoteRef/>
      </w:r>
      <w:r w:rsidRPr="003C66A7">
        <w:rPr>
          <w:sz w:val="20"/>
          <w:szCs w:val="20"/>
        </w:rPr>
        <w:t xml:space="preserve"> “</w:t>
      </w:r>
      <w:r w:rsidRPr="003C66A7">
        <w:rPr>
          <w:color w:val="000000" w:themeColor="text1"/>
          <w:sz w:val="20"/>
          <w:szCs w:val="20"/>
        </w:rPr>
        <w:t>Gold King Mine Spill:  How is the Animas River Faring?</w:t>
      </w:r>
      <w:r>
        <w:rPr>
          <w:color w:val="000000" w:themeColor="text1"/>
          <w:sz w:val="20"/>
          <w:szCs w:val="20"/>
        </w:rPr>
        <w:t>”</w:t>
      </w:r>
      <w:r w:rsidRPr="003C66A7">
        <w:rPr>
          <w:color w:val="000000" w:themeColor="text1"/>
          <w:sz w:val="20"/>
          <w:szCs w:val="20"/>
        </w:rPr>
        <w:t xml:space="preserve">, Mountain Studies Institute,  accessed March 17, 2016,  </w:t>
      </w:r>
      <w:hyperlink r:id="rId11" w:history="1">
        <w:r w:rsidRPr="003C66A7">
          <w:rPr>
            <w:rStyle w:val="Hyperlink"/>
            <w:color w:val="000000" w:themeColor="text1"/>
            <w:sz w:val="20"/>
            <w:szCs w:val="20"/>
          </w:rPr>
          <w:t>http://www.mountainstudies.org/goldkingspill</w:t>
        </w:r>
      </w:hyperlink>
    </w:p>
    <w:p w14:paraId="4BC9118B" w14:textId="7BB2EA51" w:rsidR="004C7347" w:rsidRPr="00B1634A" w:rsidRDefault="004C7347" w:rsidP="00540F6A">
      <w:pPr>
        <w:pStyle w:val="NoSpacing"/>
        <w:rPr>
          <w:rStyle w:val="Hyperlink"/>
          <w:color w:val="000000" w:themeColor="text1"/>
          <w:sz w:val="20"/>
          <w:szCs w:val="20"/>
        </w:rPr>
      </w:pPr>
    </w:p>
    <w:p w14:paraId="19D42A0D" w14:textId="4B4D4690" w:rsidR="004C7347" w:rsidRPr="00416A77" w:rsidRDefault="004C7347" w:rsidP="00416A77">
      <w:pPr>
        <w:rPr>
          <w:rStyle w:val="Hyperlink"/>
          <w:rFonts w:eastAsia="Times New Roman"/>
          <w:color w:val="000000" w:themeColor="text1"/>
          <w:sz w:val="20"/>
          <w:szCs w:val="20"/>
          <w:u w:val="none"/>
        </w:rPr>
      </w:pPr>
      <w:r w:rsidRPr="00B1634A">
        <w:rPr>
          <w:color w:val="000000" w:themeColor="text1"/>
          <w:sz w:val="20"/>
          <w:szCs w:val="20"/>
        </w:rPr>
        <w:t xml:space="preserve">“Biological Response Report”, US EPA, accessed April 2, 2019, </w:t>
      </w:r>
      <w:hyperlink r:id="rId12" w:history="1">
        <w:r w:rsidRPr="00B1634A">
          <w:rPr>
            <w:rStyle w:val="Hyperlink"/>
            <w:color w:val="000000" w:themeColor="text1"/>
            <w:sz w:val="20"/>
            <w:szCs w:val="20"/>
          </w:rPr>
          <w:t>https://www.epa.gov/goldkingmine/biological-response-report</w:t>
        </w:r>
      </w:hyperlink>
    </w:p>
    <w:p w14:paraId="4D85B979" w14:textId="77777777" w:rsidR="004C7347" w:rsidRPr="003C66A7" w:rsidRDefault="004C7347" w:rsidP="00540F6A">
      <w:pPr>
        <w:pStyle w:val="EndnoteText"/>
        <w:rPr>
          <w:sz w:val="20"/>
          <w:szCs w:val="20"/>
        </w:rPr>
      </w:pPr>
    </w:p>
  </w:endnote>
  <w:endnote w:id="22">
    <w:p w14:paraId="77A7EA48" w14:textId="77777777" w:rsidR="004C7347" w:rsidRPr="003C66A7" w:rsidRDefault="004C7347" w:rsidP="00B1634A">
      <w:pPr>
        <w:pStyle w:val="EndnoteText"/>
        <w:rPr>
          <w:color w:val="000000" w:themeColor="text1"/>
          <w:sz w:val="20"/>
          <w:szCs w:val="20"/>
        </w:rPr>
      </w:pPr>
      <w:r w:rsidRPr="003C66A7">
        <w:rPr>
          <w:rStyle w:val="EndnoteReference"/>
          <w:color w:val="000000" w:themeColor="text1"/>
          <w:sz w:val="20"/>
          <w:szCs w:val="20"/>
        </w:rPr>
        <w:endnoteRef/>
      </w:r>
      <w:r w:rsidRPr="003C66A7">
        <w:rPr>
          <w:color w:val="000000" w:themeColor="text1"/>
          <w:sz w:val="20"/>
          <w:szCs w:val="20"/>
        </w:rPr>
        <w:t xml:space="preserve"> The population of San Juan County, NM is approximately 130,000,</w:t>
      </w:r>
    </w:p>
    <w:p w14:paraId="7FD3C0D1" w14:textId="77777777" w:rsidR="004C7347" w:rsidRPr="006B6664" w:rsidRDefault="004C7347" w:rsidP="00B1634A">
      <w:pPr>
        <w:pStyle w:val="EndnoteText"/>
        <w:rPr>
          <w:color w:val="000000" w:themeColor="text1"/>
          <w:sz w:val="20"/>
          <w:szCs w:val="20"/>
        </w:rPr>
      </w:pPr>
    </w:p>
  </w:endnote>
  <w:endnote w:id="23">
    <w:p w14:paraId="79990B15" w14:textId="77777777" w:rsidR="004C7347" w:rsidRPr="006B6664" w:rsidRDefault="004C7347" w:rsidP="00B1634A">
      <w:pPr>
        <w:pStyle w:val="NoSpacing"/>
        <w:rPr>
          <w:color w:val="000000" w:themeColor="text1"/>
          <w:sz w:val="20"/>
          <w:szCs w:val="20"/>
        </w:rPr>
      </w:pPr>
      <w:r w:rsidRPr="006B6664">
        <w:rPr>
          <w:rStyle w:val="EndnoteReference"/>
          <w:color w:val="000000" w:themeColor="text1"/>
          <w:sz w:val="20"/>
          <w:szCs w:val="20"/>
        </w:rPr>
        <w:endnoteRef/>
      </w:r>
      <w:r w:rsidRPr="006B6664">
        <w:rPr>
          <w:color w:val="000000" w:themeColor="text1"/>
          <w:sz w:val="20"/>
          <w:szCs w:val="20"/>
        </w:rPr>
        <w:t xml:space="preserve"> </w:t>
      </w:r>
      <w:r>
        <w:rPr>
          <w:color w:val="000000" w:themeColor="text1"/>
          <w:sz w:val="20"/>
          <w:szCs w:val="20"/>
        </w:rPr>
        <w:t xml:space="preserve">“Drinking Water Impact Questions, </w:t>
      </w:r>
      <w:r w:rsidRPr="006B6664">
        <w:rPr>
          <w:color w:val="000000" w:themeColor="text1"/>
          <w:sz w:val="20"/>
          <w:szCs w:val="20"/>
        </w:rPr>
        <w:t>Colorado Department of Public Health</w:t>
      </w:r>
      <w:r>
        <w:rPr>
          <w:color w:val="000000" w:themeColor="text1"/>
          <w:sz w:val="20"/>
          <w:szCs w:val="20"/>
        </w:rPr>
        <w:t xml:space="preserve"> and the Environment, a</w:t>
      </w:r>
      <w:r w:rsidRPr="006B6664">
        <w:rPr>
          <w:color w:val="000000" w:themeColor="text1"/>
          <w:sz w:val="20"/>
          <w:szCs w:val="20"/>
        </w:rPr>
        <w:t>ccessed 17 March 2016 from</w:t>
      </w:r>
    </w:p>
    <w:p w14:paraId="7F4B19E3" w14:textId="77777777" w:rsidR="004C7347" w:rsidRPr="006B6664" w:rsidRDefault="005749DE" w:rsidP="00B1634A">
      <w:pPr>
        <w:pStyle w:val="NoSpacing"/>
        <w:rPr>
          <w:i/>
          <w:color w:val="000000" w:themeColor="text1"/>
          <w:sz w:val="20"/>
          <w:szCs w:val="20"/>
        </w:rPr>
      </w:pPr>
      <w:hyperlink r:id="rId13" w:history="1">
        <w:r w:rsidR="004C7347" w:rsidRPr="006B6664">
          <w:rPr>
            <w:rStyle w:val="Hyperlink"/>
            <w:color w:val="000000" w:themeColor="text1"/>
            <w:sz w:val="20"/>
            <w:szCs w:val="20"/>
          </w:rPr>
          <w:t>https://www.colorado.gov/pacific/sites/default/files/Drinking-Water-FAQ-09-02-15.pdf</w:t>
        </w:r>
      </w:hyperlink>
    </w:p>
    <w:p w14:paraId="7F2D2401" w14:textId="77777777" w:rsidR="004C7347" w:rsidRPr="006B6664" w:rsidRDefault="004C7347" w:rsidP="00B1634A">
      <w:pPr>
        <w:pStyle w:val="EndnoteText"/>
        <w:rPr>
          <w:color w:val="000000" w:themeColor="text1"/>
          <w:sz w:val="20"/>
          <w:szCs w:val="20"/>
        </w:rPr>
      </w:pPr>
    </w:p>
  </w:endnote>
  <w:endnote w:id="24">
    <w:p w14:paraId="722A4962" w14:textId="77777777" w:rsidR="004C7347" w:rsidRPr="006B6664" w:rsidRDefault="004C7347" w:rsidP="00B1634A">
      <w:pPr>
        <w:pStyle w:val="NoSpacing"/>
        <w:rPr>
          <w:rFonts w:cs="Lucida Grande"/>
          <w:bCs/>
          <w:color w:val="000000" w:themeColor="text1"/>
          <w:sz w:val="20"/>
          <w:szCs w:val="20"/>
        </w:rPr>
      </w:pPr>
      <w:r w:rsidRPr="006B6664">
        <w:rPr>
          <w:rStyle w:val="EndnoteReference"/>
          <w:color w:val="000000" w:themeColor="text1"/>
          <w:sz w:val="20"/>
          <w:szCs w:val="20"/>
        </w:rPr>
        <w:endnoteRef/>
      </w:r>
      <w:r w:rsidRPr="006B6664">
        <w:rPr>
          <w:color w:val="000000" w:themeColor="text1"/>
          <w:sz w:val="20"/>
          <w:szCs w:val="20"/>
        </w:rPr>
        <w:t xml:space="preserve"> “</w:t>
      </w:r>
      <w:r w:rsidRPr="006B6664">
        <w:rPr>
          <w:rFonts w:cs="Lucida Grande"/>
          <w:bCs/>
          <w:color w:val="000000" w:themeColor="text1"/>
          <w:sz w:val="20"/>
          <w:szCs w:val="20"/>
        </w:rPr>
        <w:t xml:space="preserve">Frequent Questions Related to Gold King Mine Response”, </w:t>
      </w:r>
      <w:r w:rsidRPr="006B6664">
        <w:rPr>
          <w:color w:val="000000" w:themeColor="text1"/>
          <w:sz w:val="20"/>
          <w:szCs w:val="20"/>
        </w:rPr>
        <w:t xml:space="preserve">United States Environmental Protection Agency, </w:t>
      </w:r>
      <w:r w:rsidRPr="006B6664">
        <w:rPr>
          <w:rFonts w:cs="Lucida Grande"/>
          <w:bCs/>
          <w:color w:val="000000" w:themeColor="text1"/>
          <w:sz w:val="20"/>
          <w:szCs w:val="20"/>
        </w:rPr>
        <w:t xml:space="preserve">  accessed March10,  2016, </w:t>
      </w:r>
      <w:hyperlink r:id="rId14" w:anchor="impacts" w:history="1">
        <w:r w:rsidRPr="006B6664">
          <w:rPr>
            <w:rStyle w:val="Hyperlink"/>
            <w:rFonts w:cs="Lucida Grande"/>
            <w:bCs/>
            <w:color w:val="000000" w:themeColor="text1"/>
            <w:sz w:val="20"/>
            <w:szCs w:val="20"/>
          </w:rPr>
          <w:t>https://www.epa.gov/goldkingmine/frequent-questions-related-gold-king-mine-response#impacts</w:t>
        </w:r>
      </w:hyperlink>
    </w:p>
    <w:p w14:paraId="5B4E2D9C" w14:textId="77777777" w:rsidR="004C7347" w:rsidRPr="00256375" w:rsidRDefault="004C7347" w:rsidP="00B1634A">
      <w:pPr>
        <w:pStyle w:val="EndnoteText"/>
        <w:rPr>
          <w:color w:val="000000" w:themeColor="text1"/>
          <w:sz w:val="20"/>
          <w:szCs w:val="20"/>
        </w:rPr>
      </w:pPr>
    </w:p>
  </w:endnote>
  <w:endnote w:id="25">
    <w:p w14:paraId="70AE9BFC" w14:textId="77777777" w:rsidR="004C7347" w:rsidRPr="008B6A4E" w:rsidRDefault="004C7347" w:rsidP="008B6A4E">
      <w:pPr>
        <w:pStyle w:val="EndnoteText"/>
        <w:rPr>
          <w:color w:val="000000" w:themeColor="text1"/>
          <w:sz w:val="20"/>
          <w:szCs w:val="20"/>
        </w:rPr>
      </w:pPr>
      <w:r w:rsidRPr="008B6A4E">
        <w:rPr>
          <w:rStyle w:val="EndnoteReference"/>
          <w:color w:val="000000" w:themeColor="text1"/>
          <w:sz w:val="20"/>
          <w:szCs w:val="20"/>
        </w:rPr>
        <w:endnoteRef/>
      </w:r>
      <w:r w:rsidRPr="008B6A4E">
        <w:rPr>
          <w:color w:val="000000" w:themeColor="text1"/>
          <w:sz w:val="20"/>
          <w:szCs w:val="20"/>
        </w:rPr>
        <w:t xml:space="preserve"> Sarah Pratt, “Bringing Geoscience to Bear on the Problem of Abandoned Mines”,  </w:t>
      </w:r>
      <w:r w:rsidRPr="008B6A4E">
        <w:rPr>
          <w:i/>
          <w:color w:val="000000" w:themeColor="text1"/>
          <w:sz w:val="20"/>
          <w:szCs w:val="20"/>
        </w:rPr>
        <w:t xml:space="preserve">Earth </w:t>
      </w:r>
      <w:r w:rsidRPr="008B6A4E">
        <w:rPr>
          <w:color w:val="000000" w:themeColor="text1"/>
          <w:sz w:val="20"/>
          <w:szCs w:val="20"/>
        </w:rPr>
        <w:t xml:space="preserve">Magazine, accessed October 8, 2017, </w:t>
      </w:r>
      <w:hyperlink r:id="rId15" w:history="1">
        <w:r w:rsidRPr="008B6A4E">
          <w:rPr>
            <w:rStyle w:val="Hyperlink"/>
            <w:color w:val="000000" w:themeColor="text1"/>
            <w:sz w:val="20"/>
            <w:szCs w:val="20"/>
          </w:rPr>
          <w:t>https://www.earthmagazine.org/article/bringing-geoscience-bear-problem-abandoned-mines</w:t>
        </w:r>
      </w:hyperlink>
    </w:p>
    <w:p w14:paraId="75A30DF3" w14:textId="77777777" w:rsidR="004C7347" w:rsidRPr="008B6A4E" w:rsidRDefault="004C7347" w:rsidP="008B6A4E">
      <w:pPr>
        <w:pStyle w:val="EndnoteText"/>
        <w:rPr>
          <w:color w:val="000000" w:themeColor="text1"/>
          <w:sz w:val="20"/>
          <w:szCs w:val="20"/>
        </w:rPr>
      </w:pPr>
    </w:p>
  </w:endnote>
  <w:endnote w:id="26">
    <w:p w14:paraId="4D9437CF" w14:textId="77777777" w:rsidR="004C7347" w:rsidRPr="008B6A4E" w:rsidRDefault="004C7347" w:rsidP="008524A7">
      <w:pPr>
        <w:rPr>
          <w:sz w:val="20"/>
          <w:szCs w:val="20"/>
        </w:rPr>
      </w:pPr>
      <w:r w:rsidRPr="008B6A4E">
        <w:rPr>
          <w:rStyle w:val="EndnoteReference"/>
          <w:sz w:val="20"/>
          <w:szCs w:val="20"/>
        </w:rPr>
        <w:endnoteRef/>
      </w:r>
      <w:r w:rsidRPr="008B6A4E">
        <w:rPr>
          <w:sz w:val="20"/>
          <w:szCs w:val="20"/>
        </w:rPr>
        <w:t xml:space="preserve"> Although there is no official point of demarcation between the Upper and Lower Animas River watersheds, it is generally understood that the landmark Baker’s Bridge provides an acceptable dividing line between the two.</w:t>
      </w:r>
      <w:r w:rsidRPr="008B6A4E">
        <w:rPr>
          <w:rStyle w:val="EndnoteReference"/>
          <w:sz w:val="20"/>
          <w:szCs w:val="20"/>
        </w:rPr>
        <w:endnoteRef/>
      </w:r>
      <w:r w:rsidRPr="008B6A4E">
        <w:rPr>
          <w:sz w:val="20"/>
          <w:szCs w:val="20"/>
        </w:rPr>
        <w:t xml:space="preserve">  This claim is based on several changes in the river’s character below this spot, including a notable lessening in gradient and velocity; improvements in water quality; numerous agricultural diversions and irrigated farming and ranching; and changes in land ownership (i.e., from public to private).  With Baker’s Bridge as the dividing line, the mainstem Upper Animas River flows roughly 45-miles from its source near Animas Forks.</w:t>
      </w:r>
    </w:p>
    <w:p w14:paraId="4A2DD6F7" w14:textId="77777777" w:rsidR="004C7347" w:rsidRDefault="004C7347" w:rsidP="008524A7">
      <w:pPr>
        <w:pStyle w:val="EndnoteText"/>
      </w:pPr>
    </w:p>
  </w:endnote>
  <w:endnote w:id="27">
    <w:p w14:paraId="3BD429B4" w14:textId="77777777" w:rsidR="004C7347" w:rsidRPr="00DA79B2" w:rsidRDefault="004C7347" w:rsidP="001600C7">
      <w:pPr>
        <w:pStyle w:val="EndnoteText"/>
        <w:rPr>
          <w:color w:val="000000" w:themeColor="text1"/>
          <w:sz w:val="20"/>
          <w:szCs w:val="20"/>
        </w:rPr>
      </w:pPr>
      <w:r w:rsidRPr="00DA79B2">
        <w:rPr>
          <w:rStyle w:val="EndnoteReference"/>
          <w:color w:val="000000" w:themeColor="text1"/>
          <w:sz w:val="20"/>
          <w:szCs w:val="20"/>
        </w:rPr>
        <w:endnoteRef/>
      </w:r>
      <w:r w:rsidRPr="00DA79B2">
        <w:rPr>
          <w:color w:val="000000" w:themeColor="text1"/>
          <w:sz w:val="20"/>
          <w:szCs w:val="20"/>
        </w:rPr>
        <w:t xml:space="preserve"> “Mission”, </w:t>
      </w:r>
      <w:r w:rsidRPr="00DA79B2">
        <w:rPr>
          <w:i/>
          <w:color w:val="000000" w:themeColor="text1"/>
          <w:sz w:val="20"/>
          <w:szCs w:val="20"/>
        </w:rPr>
        <w:t>Animas River Stakeholders Group</w:t>
      </w:r>
      <w:r w:rsidRPr="00DA79B2">
        <w:rPr>
          <w:color w:val="000000" w:themeColor="text1"/>
          <w:sz w:val="20"/>
          <w:szCs w:val="20"/>
        </w:rPr>
        <w:t xml:space="preserve">, accessed December 13, 2017, </w:t>
      </w:r>
      <w:hyperlink r:id="rId16" w:history="1">
        <w:r w:rsidRPr="00DA79B2">
          <w:rPr>
            <w:rStyle w:val="Hyperlink"/>
            <w:color w:val="000000" w:themeColor="text1"/>
            <w:sz w:val="20"/>
            <w:szCs w:val="20"/>
          </w:rPr>
          <w:t>http://animasriverstakeholdersgroup.org/blog/index.php/goals-objectives/</w:t>
        </w:r>
      </w:hyperlink>
    </w:p>
    <w:p w14:paraId="5550B169" w14:textId="77777777" w:rsidR="004C7347" w:rsidRPr="00DA79B2" w:rsidRDefault="004C7347" w:rsidP="001600C7">
      <w:pPr>
        <w:pStyle w:val="EndnoteText"/>
        <w:rPr>
          <w:color w:val="000000" w:themeColor="text1"/>
          <w:sz w:val="20"/>
          <w:szCs w:val="20"/>
        </w:rPr>
      </w:pPr>
    </w:p>
  </w:endnote>
  <w:endnote w:id="28">
    <w:p w14:paraId="053DBFA9" w14:textId="0EB9F571" w:rsidR="004C7347" w:rsidRPr="009C23E3" w:rsidRDefault="004C7347" w:rsidP="009C23E3">
      <w:pPr>
        <w:rPr>
          <w:sz w:val="20"/>
          <w:szCs w:val="20"/>
        </w:rPr>
      </w:pPr>
      <w:r w:rsidRPr="009C23E3">
        <w:rPr>
          <w:rStyle w:val="EndnoteReference"/>
          <w:sz w:val="20"/>
          <w:szCs w:val="20"/>
        </w:rPr>
        <w:endnoteRef/>
      </w:r>
      <w:r w:rsidRPr="009C23E3">
        <w:rPr>
          <w:sz w:val="20"/>
          <w:szCs w:val="20"/>
          <w:vertAlign w:val="superscript"/>
        </w:rPr>
        <w:t xml:space="preserve"> </w:t>
      </w:r>
      <w:r w:rsidRPr="001600C7">
        <w:rPr>
          <w:rFonts w:cs="Arial"/>
          <w:sz w:val="20"/>
          <w:szCs w:val="20"/>
        </w:rPr>
        <w:t xml:space="preserve">The classification is also misleading; while it is entirely possible to </w:t>
      </w:r>
      <w:r w:rsidRPr="001600C7">
        <w:rPr>
          <w:rFonts w:cs="Arial"/>
          <w:i/>
          <w:sz w:val="20"/>
          <w:szCs w:val="20"/>
        </w:rPr>
        <w:t xml:space="preserve">point </w:t>
      </w:r>
      <w:r w:rsidRPr="001600C7">
        <w:rPr>
          <w:rFonts w:cs="Arial"/>
          <w:sz w:val="20"/>
          <w:szCs w:val="20"/>
        </w:rPr>
        <w:t>to (i.e., directly identify) a mine opening, the AMD is oftentimes the product of a different mine or series of mines, interconnected by human-made subterranean tunnels and natural fissures within the rock.</w:t>
      </w:r>
      <w:r>
        <w:rPr>
          <w:rFonts w:cs="Arial"/>
          <w:sz w:val="20"/>
          <w:szCs w:val="20"/>
        </w:rPr>
        <w:t xml:space="preserve"> </w:t>
      </w:r>
      <w:r w:rsidRPr="001600C7">
        <w:rPr>
          <w:rFonts w:cs="Arial"/>
          <w:sz w:val="20"/>
          <w:szCs w:val="20"/>
        </w:rPr>
        <w:t>This is especially true for the Eureka Mining District – in which GKM is located, with its combination of natural geology, annual precipitation, and extensive mining history.  As a result, the estimated 526 million gallons of annual AMD from GKM and other mines in Upper Cement Creek has been classified as being “likely to require perpetual treatment”, at an annual cost of nearly $1 million.</w:t>
      </w:r>
    </w:p>
    <w:p w14:paraId="2CEE75DC" w14:textId="77777777" w:rsidR="004C7347" w:rsidRPr="00DA79B2" w:rsidRDefault="004C7347" w:rsidP="001600C7">
      <w:pPr>
        <w:pStyle w:val="EndnoteText"/>
        <w:rPr>
          <w:sz w:val="20"/>
          <w:szCs w:val="20"/>
        </w:rPr>
      </w:pPr>
    </w:p>
  </w:endnote>
  <w:endnote w:id="29">
    <w:p w14:paraId="1E630056" w14:textId="77777777" w:rsidR="004C7347" w:rsidRPr="00613A7A" w:rsidRDefault="004C7347" w:rsidP="009C23E3">
      <w:pPr>
        <w:pStyle w:val="EndnoteText"/>
        <w:rPr>
          <w:color w:val="000000" w:themeColor="text1"/>
          <w:sz w:val="20"/>
          <w:szCs w:val="20"/>
        </w:rPr>
      </w:pPr>
      <w:r w:rsidRPr="00613A7A">
        <w:rPr>
          <w:rStyle w:val="EndnoteReference"/>
          <w:color w:val="000000" w:themeColor="text1"/>
          <w:sz w:val="20"/>
          <w:szCs w:val="20"/>
        </w:rPr>
        <w:endnoteRef/>
      </w:r>
      <w:r w:rsidRPr="00613A7A">
        <w:rPr>
          <w:color w:val="000000" w:themeColor="text1"/>
          <w:sz w:val="20"/>
          <w:szCs w:val="20"/>
        </w:rPr>
        <w:t xml:space="preserve"> Travis Stills, email to the author, March 26, 2018.</w:t>
      </w:r>
    </w:p>
    <w:p w14:paraId="5710A434" w14:textId="77777777" w:rsidR="004C7347" w:rsidRPr="00613A7A" w:rsidRDefault="004C7347" w:rsidP="009C23E3">
      <w:pPr>
        <w:pStyle w:val="EndnoteText"/>
        <w:rPr>
          <w:color w:val="000000" w:themeColor="text1"/>
          <w:sz w:val="20"/>
          <w:szCs w:val="20"/>
        </w:rPr>
      </w:pPr>
    </w:p>
  </w:endnote>
  <w:endnote w:id="30">
    <w:p w14:paraId="20206426" w14:textId="4A693559" w:rsidR="004C7347" w:rsidRPr="00DA79B2" w:rsidRDefault="004C7347" w:rsidP="00A3000B">
      <w:pPr>
        <w:rPr>
          <w:color w:val="000000" w:themeColor="text1"/>
          <w:sz w:val="20"/>
          <w:szCs w:val="20"/>
        </w:rPr>
      </w:pPr>
      <w:r w:rsidRPr="00DA79B2">
        <w:rPr>
          <w:rStyle w:val="EndnoteReference"/>
          <w:color w:val="000000" w:themeColor="text1"/>
          <w:sz w:val="20"/>
          <w:szCs w:val="20"/>
        </w:rPr>
        <w:endnoteRef/>
      </w:r>
      <w:r w:rsidRPr="00DA79B2">
        <w:rPr>
          <w:color w:val="000000" w:themeColor="text1"/>
          <w:sz w:val="20"/>
          <w:szCs w:val="20"/>
        </w:rPr>
        <w:t xml:space="preserve"> As a political scientist, I understand ideology as </w:t>
      </w:r>
      <w:r w:rsidRPr="00DA79B2">
        <w:rPr>
          <w:rFonts w:eastAsia="Times New Roman" w:cs="Arial"/>
          <w:color w:val="000000" w:themeColor="text1"/>
          <w:sz w:val="20"/>
          <w:szCs w:val="20"/>
          <w:shd w:val="clear" w:color="auto" w:fill="FFFFFF"/>
        </w:rPr>
        <w:t>a broad belief system of ideals and ideas regarding the appropriate role and scope of government in society, which provides a basis for normative thoughts on political theory, economics, and public policy.  I</w:t>
      </w:r>
      <w:r w:rsidRPr="00DA79B2">
        <w:rPr>
          <w:color w:val="000000" w:themeColor="text1"/>
          <w:sz w:val="20"/>
          <w:szCs w:val="20"/>
        </w:rPr>
        <w:t>deology is best viewed as a quadrant, where specific beliefs are located, as opposed to a strictly connected, linear set of beliefs.</w:t>
      </w:r>
    </w:p>
    <w:p w14:paraId="15AEBB88" w14:textId="77777777" w:rsidR="004C7347" w:rsidRPr="00DA79B2" w:rsidRDefault="004C7347" w:rsidP="00A3000B">
      <w:pPr>
        <w:rPr>
          <w:rFonts w:eastAsia="Times New Roman" w:cs="Times New Roman"/>
          <w:color w:val="000000" w:themeColor="text1"/>
          <w:sz w:val="20"/>
          <w:szCs w:val="20"/>
        </w:rPr>
      </w:pPr>
    </w:p>
  </w:endnote>
  <w:endnote w:id="31">
    <w:p w14:paraId="4A137FAF" w14:textId="77777777" w:rsidR="004C7347" w:rsidRPr="00DA79B2" w:rsidRDefault="004C7347" w:rsidP="006C2A8E">
      <w:pPr>
        <w:pStyle w:val="EndnoteText"/>
        <w:rPr>
          <w:color w:val="000000" w:themeColor="text1"/>
          <w:sz w:val="20"/>
          <w:szCs w:val="20"/>
        </w:rPr>
      </w:pPr>
      <w:r w:rsidRPr="00DA79B2">
        <w:rPr>
          <w:rStyle w:val="EndnoteReference"/>
          <w:color w:val="000000" w:themeColor="text1"/>
          <w:sz w:val="20"/>
          <w:szCs w:val="20"/>
        </w:rPr>
        <w:endnoteRef/>
      </w:r>
      <w:r w:rsidRPr="00DA79B2">
        <w:rPr>
          <w:color w:val="000000" w:themeColor="text1"/>
          <w:sz w:val="20"/>
          <w:szCs w:val="20"/>
        </w:rPr>
        <w:t xml:space="preserve"> Ibid.</w:t>
      </w:r>
    </w:p>
    <w:p w14:paraId="69164805" w14:textId="77777777" w:rsidR="004C7347" w:rsidRPr="00613A7A" w:rsidRDefault="004C7347" w:rsidP="006C2A8E">
      <w:pPr>
        <w:pStyle w:val="EndnoteText"/>
        <w:rPr>
          <w:color w:val="000000" w:themeColor="text1"/>
          <w:sz w:val="20"/>
          <w:szCs w:val="20"/>
        </w:rPr>
      </w:pPr>
    </w:p>
  </w:endnote>
  <w:endnote w:id="32">
    <w:p w14:paraId="13AF131F" w14:textId="3C0DD410" w:rsidR="004C7347" w:rsidRPr="00613A7A" w:rsidRDefault="004C7347" w:rsidP="00CC7538">
      <w:pPr>
        <w:pStyle w:val="EndnoteText"/>
        <w:rPr>
          <w:color w:val="000000" w:themeColor="text1"/>
          <w:sz w:val="20"/>
          <w:szCs w:val="20"/>
        </w:rPr>
      </w:pPr>
      <w:r w:rsidRPr="00613A7A">
        <w:rPr>
          <w:rStyle w:val="EndnoteReference"/>
          <w:color w:val="000000" w:themeColor="text1"/>
        </w:rPr>
        <w:endnoteRef/>
      </w:r>
      <w:r w:rsidRPr="00613A7A">
        <w:rPr>
          <w:color w:val="000000" w:themeColor="text1"/>
        </w:rPr>
        <w:t xml:space="preserve"> </w:t>
      </w:r>
      <w:r w:rsidRPr="00613A7A">
        <w:rPr>
          <w:color w:val="000000" w:themeColor="text1"/>
          <w:sz w:val="20"/>
          <w:szCs w:val="20"/>
        </w:rPr>
        <w:t xml:space="preserve">Steve Garrison, “Gold King Mine Spill a Disaster Waiting to Happen”, </w:t>
      </w:r>
      <w:r w:rsidRPr="00613A7A">
        <w:rPr>
          <w:i/>
          <w:color w:val="000000" w:themeColor="text1"/>
          <w:sz w:val="20"/>
          <w:szCs w:val="20"/>
        </w:rPr>
        <w:t>Albuquerque Journal</w:t>
      </w:r>
      <w:r w:rsidRPr="00613A7A">
        <w:rPr>
          <w:color w:val="000000" w:themeColor="text1"/>
          <w:sz w:val="20"/>
          <w:szCs w:val="20"/>
        </w:rPr>
        <w:t xml:space="preserve">, accessed August 16, 2015, </w:t>
      </w:r>
      <w:hyperlink r:id="rId17" w:history="1">
        <w:r w:rsidRPr="00613A7A">
          <w:rPr>
            <w:rStyle w:val="Hyperlink"/>
            <w:color w:val="000000" w:themeColor="text1"/>
            <w:sz w:val="20"/>
            <w:szCs w:val="20"/>
          </w:rPr>
          <w:t>https://www.abqjournal.com/628976/gold-king-mine-spill-a-disaster-waiting-to-happen.html</w:t>
        </w:r>
      </w:hyperlink>
    </w:p>
    <w:p w14:paraId="3E7D58FD" w14:textId="77777777" w:rsidR="004C7347" w:rsidRPr="00613A7A" w:rsidRDefault="004C7347" w:rsidP="00CC7538">
      <w:pPr>
        <w:pStyle w:val="EndnoteText"/>
        <w:rPr>
          <w:color w:val="000000" w:themeColor="text1"/>
          <w:sz w:val="20"/>
          <w:szCs w:val="20"/>
        </w:rPr>
      </w:pPr>
    </w:p>
  </w:endnote>
  <w:endnote w:id="33">
    <w:p w14:paraId="7EA86613" w14:textId="77777777" w:rsidR="004C7347" w:rsidRPr="00613A7A" w:rsidRDefault="004C7347" w:rsidP="00CC7538">
      <w:pPr>
        <w:pStyle w:val="EndnoteText"/>
        <w:rPr>
          <w:color w:val="000000" w:themeColor="text1"/>
          <w:sz w:val="20"/>
          <w:szCs w:val="20"/>
        </w:rPr>
      </w:pPr>
      <w:r w:rsidRPr="00613A7A">
        <w:rPr>
          <w:rStyle w:val="EndnoteReference"/>
          <w:color w:val="000000" w:themeColor="text1"/>
          <w:sz w:val="20"/>
          <w:szCs w:val="20"/>
        </w:rPr>
        <w:endnoteRef/>
      </w:r>
      <w:r w:rsidRPr="00613A7A">
        <w:rPr>
          <w:color w:val="000000" w:themeColor="text1"/>
          <w:sz w:val="20"/>
          <w:szCs w:val="20"/>
        </w:rPr>
        <w:t xml:space="preserve"> Jonathan Romeo, “Mine Cleanup Organization Could Dissolve with Silverton Superfund Approval”, </w:t>
      </w:r>
      <w:r w:rsidRPr="00613A7A">
        <w:rPr>
          <w:i/>
          <w:color w:val="000000" w:themeColor="text1"/>
          <w:sz w:val="20"/>
          <w:szCs w:val="20"/>
        </w:rPr>
        <w:t>The Durango Herald</w:t>
      </w:r>
      <w:r w:rsidRPr="00613A7A">
        <w:rPr>
          <w:color w:val="000000" w:themeColor="text1"/>
          <w:sz w:val="20"/>
          <w:szCs w:val="20"/>
        </w:rPr>
        <w:t xml:space="preserve">, accessed February 24, 2016, </w:t>
      </w:r>
      <w:hyperlink r:id="rId18" w:history="1">
        <w:r w:rsidRPr="00613A7A">
          <w:rPr>
            <w:rStyle w:val="Hyperlink"/>
            <w:color w:val="000000" w:themeColor="text1"/>
            <w:sz w:val="20"/>
            <w:szCs w:val="20"/>
          </w:rPr>
          <w:t>https://durangoherald.com/articles/2034-future-of-animas-river-stakeholders-group-uncertain</w:t>
        </w:r>
      </w:hyperlink>
    </w:p>
    <w:p w14:paraId="1D60F318" w14:textId="77777777" w:rsidR="004C7347" w:rsidRPr="00A552DB" w:rsidRDefault="004C7347" w:rsidP="00CC7538">
      <w:pPr>
        <w:pStyle w:val="EndnoteText"/>
        <w:rPr>
          <w:rFonts w:cstheme="minorHAnsi"/>
          <w:color w:val="000000" w:themeColor="text1"/>
          <w:sz w:val="20"/>
          <w:szCs w:val="20"/>
        </w:rPr>
      </w:pPr>
    </w:p>
  </w:endnote>
  <w:endnote w:id="34">
    <w:p w14:paraId="40A0418B" w14:textId="77777777" w:rsidR="004C7347" w:rsidRPr="00A552DB" w:rsidRDefault="004C7347" w:rsidP="00E64A72">
      <w:pPr>
        <w:rPr>
          <w:rFonts w:eastAsia="Times New Roman"/>
          <w:color w:val="000000" w:themeColor="text1"/>
          <w:sz w:val="20"/>
          <w:szCs w:val="20"/>
        </w:rPr>
      </w:pPr>
      <w:r w:rsidRPr="00A552DB">
        <w:rPr>
          <w:rStyle w:val="EndnoteReference"/>
          <w:rFonts w:cstheme="minorHAnsi"/>
          <w:color w:val="000000" w:themeColor="text1"/>
          <w:sz w:val="20"/>
          <w:szCs w:val="20"/>
        </w:rPr>
        <w:endnoteRef/>
      </w:r>
      <w:r w:rsidRPr="00A552DB">
        <w:rPr>
          <w:rFonts w:cstheme="minorHAnsi"/>
          <w:color w:val="000000" w:themeColor="text1"/>
          <w:sz w:val="20"/>
          <w:szCs w:val="20"/>
        </w:rPr>
        <w:t xml:space="preserve"> “</w:t>
      </w:r>
      <w:r w:rsidRPr="00A552DB">
        <w:rPr>
          <w:rFonts w:eastAsia="Times New Roman" w:cstheme="minorHAnsi"/>
          <w:color w:val="000000" w:themeColor="text1"/>
          <w:sz w:val="20"/>
          <w:szCs w:val="20"/>
        </w:rPr>
        <w:t xml:space="preserve">Proposed Plan for Interim Remedial Actions:  Bonita Peak Mining District Superfund Site”, U.S. E.P.A., accessed May 1, 2018, </w:t>
      </w:r>
      <w:hyperlink r:id="rId19" w:history="1">
        <w:r w:rsidRPr="00A552DB">
          <w:rPr>
            <w:rStyle w:val="Hyperlink"/>
            <w:color w:val="000000" w:themeColor="text1"/>
            <w:sz w:val="20"/>
            <w:szCs w:val="20"/>
          </w:rPr>
          <w:t>https://semspub.epa.gov/work/08/100004546.pdf</w:t>
        </w:r>
      </w:hyperlink>
    </w:p>
    <w:p w14:paraId="3E003F33" w14:textId="5768A22D" w:rsidR="004C7347" w:rsidRPr="00A552DB" w:rsidRDefault="004C7347">
      <w:pPr>
        <w:pStyle w:val="EndnoteText"/>
        <w:rPr>
          <w:sz w:val="20"/>
          <w:szCs w:val="20"/>
        </w:rPr>
      </w:pPr>
    </w:p>
  </w:endnote>
  <w:endnote w:id="35">
    <w:p w14:paraId="27A94DCF" w14:textId="2908996E" w:rsidR="004C7347" w:rsidRDefault="004C7347">
      <w:pPr>
        <w:pStyle w:val="EndnoteText"/>
        <w:rPr>
          <w:sz w:val="20"/>
          <w:szCs w:val="20"/>
        </w:rPr>
      </w:pPr>
      <w:r w:rsidRPr="00A552DB">
        <w:rPr>
          <w:rStyle w:val="EndnoteReference"/>
          <w:sz w:val="20"/>
          <w:szCs w:val="20"/>
        </w:rPr>
        <w:endnoteRef/>
      </w:r>
      <w:r w:rsidRPr="00A552DB">
        <w:rPr>
          <w:sz w:val="20"/>
          <w:szCs w:val="20"/>
        </w:rPr>
        <w:t xml:space="preserve"> Ibid.</w:t>
      </w:r>
    </w:p>
    <w:p w14:paraId="49F2E7BA" w14:textId="06B0B173" w:rsidR="00BB7572" w:rsidRDefault="00BB7572">
      <w:pPr>
        <w:pStyle w:val="EndnoteText"/>
        <w:rPr>
          <w:sz w:val="20"/>
          <w:szCs w:val="20"/>
        </w:rPr>
      </w:pPr>
    </w:p>
    <w:p w14:paraId="43944B50" w14:textId="2B1A214B" w:rsidR="00BB7572" w:rsidRDefault="00BB7572">
      <w:pPr>
        <w:pStyle w:val="EndnoteText"/>
        <w:rPr>
          <w:sz w:val="20"/>
          <w:szCs w:val="20"/>
        </w:rPr>
      </w:pPr>
    </w:p>
    <w:p w14:paraId="247BFCEF" w14:textId="43A329A0" w:rsidR="00BB7572" w:rsidRDefault="00BB7572">
      <w:pPr>
        <w:pStyle w:val="EndnoteText"/>
        <w:rPr>
          <w:sz w:val="20"/>
          <w:szCs w:val="20"/>
        </w:rPr>
      </w:pPr>
    </w:p>
    <w:p w14:paraId="6580BFEE" w14:textId="17500161" w:rsidR="00BB7572" w:rsidRDefault="00BB7572">
      <w:pPr>
        <w:pStyle w:val="EndnoteText"/>
        <w:rPr>
          <w:sz w:val="20"/>
          <w:szCs w:val="20"/>
        </w:rPr>
      </w:pPr>
    </w:p>
    <w:p w14:paraId="735199A3" w14:textId="1C7FF349" w:rsidR="00BB7572" w:rsidRDefault="00BB7572">
      <w:pPr>
        <w:pStyle w:val="EndnoteText"/>
        <w:rPr>
          <w:sz w:val="20"/>
          <w:szCs w:val="20"/>
        </w:rPr>
      </w:pPr>
    </w:p>
    <w:p w14:paraId="73A4EEBD" w14:textId="1967C3D8" w:rsidR="00BB7572" w:rsidRDefault="00BB7572">
      <w:pPr>
        <w:pStyle w:val="EndnoteText"/>
        <w:rPr>
          <w:sz w:val="20"/>
          <w:szCs w:val="20"/>
        </w:rPr>
      </w:pPr>
    </w:p>
    <w:p w14:paraId="3CD1009F" w14:textId="3911B4B8" w:rsidR="00BB7572" w:rsidRDefault="00BB7572">
      <w:pPr>
        <w:pStyle w:val="EndnoteText"/>
        <w:rPr>
          <w:sz w:val="20"/>
          <w:szCs w:val="20"/>
        </w:rPr>
      </w:pPr>
    </w:p>
    <w:p w14:paraId="666C9BE2" w14:textId="6FA509C9" w:rsidR="00BB7572" w:rsidRDefault="00BB7572">
      <w:pPr>
        <w:pStyle w:val="EndnoteText"/>
        <w:rPr>
          <w:sz w:val="20"/>
          <w:szCs w:val="20"/>
        </w:rPr>
      </w:pPr>
    </w:p>
    <w:p w14:paraId="01ABFDE0" w14:textId="6E98E943" w:rsidR="00F9527E" w:rsidRDefault="00F9527E" w:rsidP="00BB7572">
      <w:pPr>
        <w:rPr>
          <w:b/>
          <w:color w:val="000000" w:themeColor="text1"/>
        </w:rPr>
      </w:pPr>
    </w:p>
    <w:p w14:paraId="7B399F34" w14:textId="6C9D956F" w:rsidR="00416A77" w:rsidRDefault="00416A77" w:rsidP="00BB7572">
      <w:pPr>
        <w:rPr>
          <w:b/>
          <w:color w:val="000000" w:themeColor="text1"/>
        </w:rPr>
      </w:pPr>
    </w:p>
    <w:p w14:paraId="747AB3CA" w14:textId="22503EF3" w:rsidR="00416A77" w:rsidRDefault="00416A77" w:rsidP="00BB7572">
      <w:pPr>
        <w:rPr>
          <w:b/>
          <w:color w:val="000000" w:themeColor="text1"/>
        </w:rPr>
      </w:pPr>
    </w:p>
    <w:p w14:paraId="7B8BBFC6" w14:textId="77777777" w:rsidR="00416A77" w:rsidRDefault="00416A77" w:rsidP="00BB7572">
      <w:pPr>
        <w:rPr>
          <w:b/>
          <w:color w:val="000000" w:themeColor="text1"/>
        </w:rPr>
      </w:pPr>
    </w:p>
    <w:p w14:paraId="15C9A4F2" w14:textId="03EEF7FB" w:rsidR="00BB7572" w:rsidRPr="00B71300" w:rsidRDefault="00BB7572" w:rsidP="00BB7572">
      <w:pPr>
        <w:rPr>
          <w:b/>
          <w:color w:val="000000" w:themeColor="text1"/>
        </w:rPr>
      </w:pPr>
      <w:r w:rsidRPr="00B71300">
        <w:rPr>
          <w:b/>
          <w:color w:val="000000" w:themeColor="text1"/>
        </w:rPr>
        <w:t>References</w:t>
      </w:r>
    </w:p>
    <w:p w14:paraId="73C98E02" w14:textId="77777777" w:rsidR="00BB7572" w:rsidRPr="00B71300" w:rsidRDefault="00BB7572" w:rsidP="00BB7572">
      <w:pPr>
        <w:rPr>
          <w:b/>
          <w:color w:val="000000" w:themeColor="text1"/>
        </w:rPr>
      </w:pPr>
    </w:p>
    <w:p w14:paraId="1659E87A" w14:textId="77777777" w:rsidR="00BB7572" w:rsidRPr="00B71300" w:rsidRDefault="00BB7572" w:rsidP="00BB7572">
      <w:pPr>
        <w:pStyle w:val="NoSpacing"/>
        <w:rPr>
          <w:i/>
          <w:color w:val="000000" w:themeColor="text1"/>
        </w:rPr>
      </w:pPr>
      <w:r w:rsidRPr="00B71300">
        <w:rPr>
          <w:color w:val="000000" w:themeColor="text1"/>
        </w:rPr>
        <w:t xml:space="preserve">Baumgartner, F.R. and B.D. Jones.  1993.  </w:t>
      </w:r>
      <w:r w:rsidRPr="00B71300">
        <w:rPr>
          <w:i/>
          <w:color w:val="000000" w:themeColor="text1"/>
        </w:rPr>
        <w:t xml:space="preserve">Agendas and Instability in American Politics.  </w:t>
      </w:r>
    </w:p>
    <w:p w14:paraId="12384CA4" w14:textId="77777777" w:rsidR="00BB7572" w:rsidRPr="00B71300" w:rsidRDefault="00BB7572" w:rsidP="00BB7572">
      <w:pPr>
        <w:pStyle w:val="NoSpacing"/>
        <w:ind w:firstLine="720"/>
        <w:rPr>
          <w:color w:val="000000" w:themeColor="text1"/>
        </w:rPr>
      </w:pPr>
      <w:r w:rsidRPr="00B71300">
        <w:rPr>
          <w:color w:val="000000" w:themeColor="text1"/>
        </w:rPr>
        <w:t>Chicago: University of Chicago Press.</w:t>
      </w:r>
    </w:p>
    <w:p w14:paraId="14E0EB86" w14:textId="77777777" w:rsidR="00BB7572" w:rsidRPr="00B71300" w:rsidRDefault="00BB7572" w:rsidP="00BB7572">
      <w:pPr>
        <w:pStyle w:val="NoSpacing"/>
        <w:ind w:firstLine="720"/>
        <w:rPr>
          <w:color w:val="000000" w:themeColor="text1"/>
        </w:rPr>
      </w:pPr>
    </w:p>
    <w:p w14:paraId="13B83326" w14:textId="77777777" w:rsidR="00BB7572" w:rsidRPr="00B71300" w:rsidRDefault="00BB7572" w:rsidP="00BB7572">
      <w:pPr>
        <w:rPr>
          <w:rFonts w:eastAsia="Times New Roman"/>
          <w:color w:val="000000" w:themeColor="text1"/>
        </w:rPr>
      </w:pPr>
      <w:r w:rsidRPr="00B71300">
        <w:rPr>
          <w:rFonts w:eastAsia="Times New Roman"/>
          <w:color w:val="000000" w:themeColor="text1"/>
        </w:rPr>
        <w:t xml:space="preserve">Best, A.  2018.  “Coal Gives Way to Diesel as Fire Danger Rises.”  </w:t>
      </w:r>
      <w:r w:rsidRPr="00B71300">
        <w:rPr>
          <w:rFonts w:eastAsia="Times New Roman"/>
          <w:i/>
          <w:color w:val="000000" w:themeColor="text1"/>
        </w:rPr>
        <w:t>Mountain Town News</w:t>
      </w:r>
      <w:r w:rsidRPr="00B71300">
        <w:rPr>
          <w:rFonts w:eastAsia="Times New Roman"/>
          <w:color w:val="000000" w:themeColor="text1"/>
        </w:rPr>
        <w:t>, August</w:t>
      </w:r>
    </w:p>
    <w:p w14:paraId="1C8EE683" w14:textId="77777777" w:rsidR="00BB7572" w:rsidRPr="00B71300" w:rsidRDefault="00BB7572" w:rsidP="00BB7572">
      <w:pPr>
        <w:ind w:left="720"/>
        <w:rPr>
          <w:color w:val="000000" w:themeColor="text1"/>
        </w:rPr>
      </w:pPr>
      <w:r w:rsidRPr="00B71300">
        <w:rPr>
          <w:rFonts w:eastAsia="Times New Roman"/>
          <w:color w:val="000000" w:themeColor="text1"/>
        </w:rPr>
        <w:t xml:space="preserve">4, 2018.  </w:t>
      </w:r>
      <w:hyperlink r:id="rId20" w:history="1">
        <w:r w:rsidRPr="00B71300">
          <w:rPr>
            <w:rStyle w:val="Hyperlink"/>
            <w:color w:val="000000" w:themeColor="text1"/>
          </w:rPr>
          <w:t>http://mountaintownnews.net/2018/08/04/coal-gives-way-to-diesel-on-narrow-gauge-railroad/</w:t>
        </w:r>
      </w:hyperlink>
    </w:p>
    <w:p w14:paraId="312E01CA" w14:textId="77777777" w:rsidR="00BB7572" w:rsidRPr="00B71300" w:rsidRDefault="00BB7572" w:rsidP="00BB7572">
      <w:pPr>
        <w:pStyle w:val="NoSpacing"/>
        <w:rPr>
          <w:rFonts w:eastAsia="Times New Roman"/>
          <w:color w:val="000000" w:themeColor="text1"/>
        </w:rPr>
      </w:pPr>
    </w:p>
    <w:p w14:paraId="4D075FD3" w14:textId="77777777" w:rsidR="00BB7572" w:rsidRPr="00B71300" w:rsidRDefault="00BB7572" w:rsidP="00BB7572">
      <w:pPr>
        <w:pStyle w:val="NoSpacing"/>
        <w:rPr>
          <w:rFonts w:eastAsia="Times New Roman"/>
          <w:color w:val="000000" w:themeColor="text1"/>
        </w:rPr>
      </w:pPr>
      <w:r w:rsidRPr="00B71300">
        <w:rPr>
          <w:rFonts w:eastAsia="Times New Roman"/>
          <w:color w:val="000000" w:themeColor="text1"/>
        </w:rPr>
        <w:t xml:space="preserve">________ .  2002. “Positive and Negative Feedback in Politics.” In. </w:t>
      </w:r>
      <w:r w:rsidRPr="00B71300">
        <w:rPr>
          <w:rFonts w:eastAsia="Times New Roman"/>
          <w:i/>
          <w:color w:val="000000" w:themeColor="text1"/>
        </w:rPr>
        <w:t>Policy Dynamics</w:t>
      </w:r>
      <w:r w:rsidRPr="00B71300">
        <w:rPr>
          <w:rFonts w:eastAsia="Times New Roman"/>
          <w:color w:val="000000" w:themeColor="text1"/>
        </w:rPr>
        <w:t>, edited</w:t>
      </w:r>
    </w:p>
    <w:p w14:paraId="2EF3F965" w14:textId="77777777" w:rsidR="00BB7572" w:rsidRPr="00B71300" w:rsidRDefault="00BB7572" w:rsidP="00BB7572">
      <w:pPr>
        <w:pStyle w:val="NoSpacing"/>
        <w:ind w:firstLine="720"/>
        <w:rPr>
          <w:rFonts w:eastAsia="Times New Roman"/>
          <w:color w:val="000000" w:themeColor="text1"/>
        </w:rPr>
      </w:pPr>
      <w:r w:rsidRPr="00B71300">
        <w:rPr>
          <w:rFonts w:eastAsia="Times New Roman"/>
          <w:color w:val="000000" w:themeColor="text1"/>
        </w:rPr>
        <w:t xml:space="preserve">by F.R. Baumgartner and B&gt;D. Jones.  Chicago: University of Chicago Press. </w:t>
      </w:r>
    </w:p>
    <w:p w14:paraId="60B36611" w14:textId="77777777" w:rsidR="00BB7572" w:rsidRPr="00B71300" w:rsidRDefault="00BB7572" w:rsidP="00BB7572">
      <w:pPr>
        <w:pStyle w:val="NoSpacing"/>
        <w:rPr>
          <w:color w:val="000000" w:themeColor="text1"/>
        </w:rPr>
      </w:pPr>
    </w:p>
    <w:p w14:paraId="5D5F73DD" w14:textId="77777777" w:rsidR="00BB7572" w:rsidRPr="00B71300" w:rsidRDefault="00BB7572" w:rsidP="00BB7572">
      <w:pPr>
        <w:pStyle w:val="NoSpacing"/>
        <w:rPr>
          <w:color w:val="000000" w:themeColor="text1"/>
        </w:rPr>
      </w:pPr>
      <w:r w:rsidRPr="00B71300">
        <w:rPr>
          <w:color w:val="000000" w:themeColor="text1"/>
        </w:rPr>
        <w:t xml:space="preserve">Birkland, T.A.  1997.  </w:t>
      </w:r>
      <w:r w:rsidRPr="00B71300">
        <w:rPr>
          <w:i/>
          <w:color w:val="000000" w:themeColor="text1"/>
        </w:rPr>
        <w:t>After disaster:  Agenda Setting, Public Policy, and Focusing Events</w:t>
      </w:r>
      <w:r w:rsidRPr="00B71300">
        <w:rPr>
          <w:color w:val="000000" w:themeColor="text1"/>
        </w:rPr>
        <w:t xml:space="preserve">. </w:t>
      </w:r>
    </w:p>
    <w:p w14:paraId="31ECCF63" w14:textId="77777777" w:rsidR="00BB7572" w:rsidRPr="00B71300" w:rsidRDefault="00BB7572" w:rsidP="00BB7572">
      <w:pPr>
        <w:pStyle w:val="NoSpacing"/>
        <w:ind w:firstLine="720"/>
        <w:rPr>
          <w:color w:val="000000" w:themeColor="text1"/>
        </w:rPr>
      </w:pPr>
      <w:r w:rsidRPr="00B71300">
        <w:rPr>
          <w:color w:val="000000" w:themeColor="text1"/>
        </w:rPr>
        <w:t>Washington DC: Georgetown University Press.</w:t>
      </w:r>
    </w:p>
    <w:p w14:paraId="64DCC43B" w14:textId="77777777" w:rsidR="00BB7572" w:rsidRPr="00B71300" w:rsidRDefault="00BB7572" w:rsidP="00BB7572">
      <w:pPr>
        <w:pStyle w:val="NoSpacing"/>
        <w:rPr>
          <w:color w:val="000000" w:themeColor="text1"/>
        </w:rPr>
      </w:pPr>
    </w:p>
    <w:p w14:paraId="0460FF47" w14:textId="77777777" w:rsidR="00BB7572" w:rsidRPr="00B71300" w:rsidRDefault="00BB7572" w:rsidP="00BB7572">
      <w:pPr>
        <w:pStyle w:val="NoSpacing"/>
        <w:rPr>
          <w:color w:val="000000" w:themeColor="text1"/>
        </w:rPr>
      </w:pPr>
      <w:r w:rsidRPr="00B71300">
        <w:rPr>
          <w:color w:val="000000" w:themeColor="text1"/>
        </w:rPr>
        <w:t xml:space="preserve">________ .  1998.  “Focusing Events, Mobilization, and Agenda Setting.”  </w:t>
      </w:r>
      <w:r w:rsidRPr="00B71300">
        <w:rPr>
          <w:i/>
          <w:color w:val="000000" w:themeColor="text1"/>
        </w:rPr>
        <w:t>Journal of Public Policy</w:t>
      </w:r>
    </w:p>
    <w:p w14:paraId="182DF33A" w14:textId="77777777" w:rsidR="00BB7572" w:rsidRPr="00B71300" w:rsidRDefault="00BB7572" w:rsidP="00BB7572">
      <w:pPr>
        <w:pStyle w:val="NoSpacing"/>
        <w:ind w:firstLine="720"/>
        <w:rPr>
          <w:color w:val="000000" w:themeColor="text1"/>
        </w:rPr>
      </w:pPr>
      <w:r w:rsidRPr="00B71300">
        <w:rPr>
          <w:color w:val="000000" w:themeColor="text1"/>
        </w:rPr>
        <w:t>18(1): 53-74.</w:t>
      </w:r>
    </w:p>
    <w:p w14:paraId="35D8C6E5" w14:textId="77777777" w:rsidR="00BB7572" w:rsidRPr="00B71300" w:rsidRDefault="00BB7572" w:rsidP="00BB7572">
      <w:pPr>
        <w:pStyle w:val="NoSpacing"/>
        <w:rPr>
          <w:color w:val="000000" w:themeColor="text1"/>
        </w:rPr>
      </w:pPr>
    </w:p>
    <w:p w14:paraId="58531C53" w14:textId="6E6AB597" w:rsidR="00BB7572" w:rsidRPr="00B71300" w:rsidRDefault="00BB7572" w:rsidP="00BB7572">
      <w:pPr>
        <w:pStyle w:val="NoSpacing"/>
        <w:rPr>
          <w:color w:val="000000" w:themeColor="text1"/>
        </w:rPr>
      </w:pPr>
      <w:r w:rsidRPr="00B71300">
        <w:rPr>
          <w:color w:val="000000" w:themeColor="text1"/>
        </w:rPr>
        <w:t xml:space="preserve">________ .  2007.  </w:t>
      </w:r>
      <w:r w:rsidRPr="00B71300">
        <w:rPr>
          <w:i/>
          <w:color w:val="000000" w:themeColor="text1"/>
        </w:rPr>
        <w:t>Lessons of disaster:  Policy change after catastrophic events</w:t>
      </w:r>
      <w:r w:rsidRPr="00B71300">
        <w:rPr>
          <w:color w:val="000000" w:themeColor="text1"/>
        </w:rPr>
        <w:t xml:space="preserve">.  </w:t>
      </w:r>
      <w:proofErr w:type="spellStart"/>
      <w:r w:rsidRPr="00B71300">
        <w:rPr>
          <w:color w:val="000000" w:themeColor="text1"/>
        </w:rPr>
        <w:t>WashingtonDC</w:t>
      </w:r>
      <w:proofErr w:type="spellEnd"/>
      <w:r w:rsidRPr="00B71300">
        <w:rPr>
          <w:color w:val="000000" w:themeColor="text1"/>
        </w:rPr>
        <w:t>:</w:t>
      </w:r>
    </w:p>
    <w:p w14:paraId="077293E4" w14:textId="5BBA15A0" w:rsidR="00BB7572" w:rsidRPr="00B71300" w:rsidRDefault="00BB7572" w:rsidP="00BB7572">
      <w:pPr>
        <w:pStyle w:val="NoSpacing"/>
        <w:ind w:firstLine="720"/>
        <w:rPr>
          <w:color w:val="000000" w:themeColor="text1"/>
        </w:rPr>
      </w:pPr>
      <w:r w:rsidRPr="00B71300">
        <w:rPr>
          <w:color w:val="000000" w:themeColor="text1"/>
        </w:rPr>
        <w:t xml:space="preserve">Georgetown </w:t>
      </w:r>
      <w:r>
        <w:rPr>
          <w:color w:val="000000" w:themeColor="text1"/>
        </w:rPr>
        <w:t>University Press.</w:t>
      </w:r>
    </w:p>
    <w:p w14:paraId="51A04F58" w14:textId="77777777" w:rsidR="00BB7572" w:rsidRPr="00B71300" w:rsidRDefault="00BB7572" w:rsidP="00BB7572">
      <w:pPr>
        <w:pStyle w:val="NoSpacing"/>
        <w:rPr>
          <w:color w:val="000000" w:themeColor="text1"/>
        </w:rPr>
      </w:pPr>
      <w:r w:rsidRPr="00B71300">
        <w:rPr>
          <w:color w:val="000000" w:themeColor="text1"/>
        </w:rPr>
        <w:tab/>
      </w:r>
    </w:p>
    <w:p w14:paraId="288B848C" w14:textId="77777777" w:rsidR="00BB7572" w:rsidRPr="00983FE0" w:rsidRDefault="00BB7572" w:rsidP="00BB7572">
      <w:pPr>
        <w:pStyle w:val="NoSpacing"/>
        <w:rPr>
          <w:color w:val="000000" w:themeColor="text1"/>
        </w:rPr>
      </w:pPr>
      <w:r w:rsidRPr="00983FE0">
        <w:rPr>
          <w:color w:val="000000" w:themeColor="text1"/>
        </w:rPr>
        <w:t>CDRMS (Colorado Department of Reclamation and Mine Safety).  “Preliminary Maps of Legacy</w:t>
      </w:r>
    </w:p>
    <w:p w14:paraId="33E2FA77" w14:textId="706DAC69" w:rsidR="00BB7572" w:rsidRPr="00983FE0" w:rsidRDefault="00BB7572" w:rsidP="00BB7572">
      <w:pPr>
        <w:pStyle w:val="NoSpacing"/>
        <w:ind w:left="720"/>
        <w:rPr>
          <w:color w:val="000000" w:themeColor="text1"/>
        </w:rPr>
      </w:pPr>
      <w:r w:rsidRPr="00983FE0">
        <w:rPr>
          <w:color w:val="000000" w:themeColor="text1"/>
        </w:rPr>
        <w:t xml:space="preserve">Draining Mine </w:t>
      </w:r>
      <w:proofErr w:type="spellStart"/>
      <w:r w:rsidRPr="00983FE0">
        <w:rPr>
          <w:color w:val="000000" w:themeColor="text1"/>
        </w:rPr>
        <w:t>Adits</w:t>
      </w:r>
      <w:proofErr w:type="spellEnd"/>
      <w:r w:rsidRPr="00983FE0">
        <w:rPr>
          <w:color w:val="000000" w:themeColor="text1"/>
        </w:rPr>
        <w:t xml:space="preserve">.”  Accessed July 5, 2018. Accessed July 5, 2018 </w:t>
      </w:r>
      <w:hyperlink r:id="rId21" w:history="1">
        <w:r w:rsidRPr="00983FE0">
          <w:rPr>
            <w:rStyle w:val="Hyperlink"/>
            <w:color w:val="000000" w:themeColor="text1"/>
          </w:rPr>
          <w:t>http://mining.state.co.us/Programs/Abandoned/Documents/LegacyMineWork.pdf</w:t>
        </w:r>
      </w:hyperlink>
    </w:p>
    <w:p w14:paraId="25AF814C" w14:textId="77777777" w:rsidR="00BB7572" w:rsidRPr="00B71300" w:rsidRDefault="00BB7572" w:rsidP="00BB7572">
      <w:pPr>
        <w:pStyle w:val="NoSpacing"/>
        <w:rPr>
          <w:color w:val="000000" w:themeColor="text1"/>
        </w:rPr>
      </w:pPr>
    </w:p>
    <w:p w14:paraId="590000D2" w14:textId="77777777" w:rsidR="00BB7572" w:rsidRPr="00B71300" w:rsidRDefault="00BB7572" w:rsidP="00BB7572">
      <w:pPr>
        <w:pStyle w:val="NoSpacing"/>
        <w:rPr>
          <w:color w:val="000000" w:themeColor="text1"/>
        </w:rPr>
      </w:pPr>
      <w:r w:rsidRPr="00B71300">
        <w:rPr>
          <w:color w:val="000000" w:themeColor="text1"/>
        </w:rPr>
        <w:t xml:space="preserve">Coughlin, C.W., M L. </w:t>
      </w:r>
      <w:proofErr w:type="spellStart"/>
      <w:r w:rsidRPr="00B71300">
        <w:rPr>
          <w:color w:val="000000" w:themeColor="text1"/>
        </w:rPr>
        <w:t>Hoben</w:t>
      </w:r>
      <w:proofErr w:type="spellEnd"/>
      <w:r w:rsidRPr="00B71300">
        <w:rPr>
          <w:color w:val="000000" w:themeColor="text1"/>
        </w:rPr>
        <w:t xml:space="preserve">, D.W. </w:t>
      </w:r>
      <w:proofErr w:type="spellStart"/>
      <w:r w:rsidRPr="00B71300">
        <w:rPr>
          <w:color w:val="000000" w:themeColor="text1"/>
        </w:rPr>
        <w:t>Manskopf</w:t>
      </w:r>
      <w:proofErr w:type="spellEnd"/>
      <w:r w:rsidRPr="00B71300">
        <w:rPr>
          <w:color w:val="000000" w:themeColor="text1"/>
        </w:rPr>
        <w:t>, and S.W. Quesada.  1999.   “A Systematic</w:t>
      </w:r>
    </w:p>
    <w:p w14:paraId="702C6BAD" w14:textId="77777777" w:rsidR="00BB7572" w:rsidRPr="00B71300" w:rsidRDefault="00BB7572" w:rsidP="00BB7572">
      <w:pPr>
        <w:pStyle w:val="NoSpacing"/>
        <w:ind w:left="720"/>
        <w:rPr>
          <w:color w:val="000000" w:themeColor="text1"/>
        </w:rPr>
      </w:pPr>
      <w:r w:rsidRPr="00B71300">
        <w:rPr>
          <w:color w:val="000000" w:themeColor="text1"/>
        </w:rPr>
        <w:t>Assessment of Collaborative Resource Management Partnerships.”  MA thesis, University of Michigan.</w:t>
      </w:r>
    </w:p>
    <w:p w14:paraId="732BC18F" w14:textId="77777777" w:rsidR="00BB7572" w:rsidRPr="00B71300" w:rsidRDefault="00BB7572" w:rsidP="00BB7572">
      <w:pPr>
        <w:rPr>
          <w:color w:val="000000" w:themeColor="text1"/>
        </w:rPr>
      </w:pPr>
    </w:p>
    <w:p w14:paraId="70AD7293" w14:textId="77777777" w:rsidR="00BB7572" w:rsidRPr="00B71300" w:rsidRDefault="00BB7572" w:rsidP="00BB7572">
      <w:pPr>
        <w:rPr>
          <w:color w:val="000000" w:themeColor="text1"/>
        </w:rPr>
      </w:pPr>
      <w:r w:rsidRPr="00B71300">
        <w:rPr>
          <w:color w:val="000000" w:themeColor="text1"/>
        </w:rPr>
        <w:t xml:space="preserve">Jenkins-Smith, H., D.  </w:t>
      </w:r>
      <w:proofErr w:type="spellStart"/>
      <w:r w:rsidRPr="00B71300">
        <w:rPr>
          <w:color w:val="000000" w:themeColor="text1"/>
        </w:rPr>
        <w:t>Nohrstedt</w:t>
      </w:r>
      <w:proofErr w:type="spellEnd"/>
      <w:r w:rsidRPr="00B71300">
        <w:rPr>
          <w:color w:val="000000" w:themeColor="text1"/>
        </w:rPr>
        <w:t>, C. Weible, and K. Ingold.  2017.  “The Advocacy Coalition</w:t>
      </w:r>
    </w:p>
    <w:p w14:paraId="49115355" w14:textId="77777777" w:rsidR="00BB7572" w:rsidRPr="00B71300" w:rsidRDefault="00BB7572" w:rsidP="00BB7572">
      <w:pPr>
        <w:ind w:left="720"/>
        <w:rPr>
          <w:color w:val="000000" w:themeColor="text1"/>
        </w:rPr>
      </w:pPr>
      <w:r w:rsidRPr="00B71300">
        <w:rPr>
          <w:color w:val="000000" w:themeColor="text1"/>
        </w:rPr>
        <w:t xml:space="preserve">Framework: An Overview of the Research Program.”  In </w:t>
      </w:r>
      <w:r w:rsidRPr="00B71300">
        <w:rPr>
          <w:i/>
          <w:color w:val="000000" w:themeColor="text1"/>
        </w:rPr>
        <w:t>Theories of the Policy Process</w:t>
      </w:r>
      <w:r w:rsidRPr="00B71300">
        <w:rPr>
          <w:color w:val="000000" w:themeColor="text1"/>
        </w:rPr>
        <w:t xml:space="preserve"> 4</w:t>
      </w:r>
      <w:r w:rsidRPr="00B71300">
        <w:rPr>
          <w:color w:val="000000" w:themeColor="text1"/>
          <w:vertAlign w:val="superscript"/>
        </w:rPr>
        <w:t>th</w:t>
      </w:r>
      <w:r w:rsidRPr="00B71300">
        <w:rPr>
          <w:color w:val="000000" w:themeColor="text1"/>
        </w:rPr>
        <w:t xml:space="preserve"> edited by C. Weible and P.A. Sabatier.  New York:  Westview Press.</w:t>
      </w:r>
    </w:p>
    <w:p w14:paraId="38B6CD4E" w14:textId="77777777" w:rsidR="00BB7572" w:rsidRPr="00B71300" w:rsidRDefault="00BB7572" w:rsidP="00BB7572">
      <w:pPr>
        <w:pStyle w:val="NoSpacing"/>
        <w:rPr>
          <w:color w:val="000000" w:themeColor="text1"/>
        </w:rPr>
      </w:pPr>
    </w:p>
    <w:p w14:paraId="57EEF29D" w14:textId="5AE3DDED" w:rsidR="00BB7572" w:rsidRDefault="00BB7572" w:rsidP="00BB7572">
      <w:pPr>
        <w:pStyle w:val="NoSpacing"/>
        <w:rPr>
          <w:color w:val="000000" w:themeColor="text1"/>
        </w:rPr>
      </w:pPr>
      <w:proofErr w:type="spellStart"/>
      <w:r w:rsidRPr="00B71300">
        <w:rPr>
          <w:color w:val="000000" w:themeColor="text1"/>
        </w:rPr>
        <w:t>Kindgon</w:t>
      </w:r>
      <w:proofErr w:type="spellEnd"/>
      <w:r w:rsidRPr="00B71300">
        <w:rPr>
          <w:color w:val="000000" w:themeColor="text1"/>
        </w:rPr>
        <w:t xml:space="preserve">, J.W.  2003.   </w:t>
      </w:r>
      <w:r w:rsidRPr="00B71300">
        <w:rPr>
          <w:i/>
          <w:color w:val="000000" w:themeColor="text1"/>
        </w:rPr>
        <w:t>Agendas, Alternatives, and Public Policies</w:t>
      </w:r>
      <w:r w:rsidRPr="00B71300">
        <w:rPr>
          <w:color w:val="000000" w:themeColor="text1"/>
        </w:rPr>
        <w:t>, 2</w:t>
      </w:r>
      <w:r w:rsidRPr="00B71300">
        <w:rPr>
          <w:color w:val="000000" w:themeColor="text1"/>
          <w:vertAlign w:val="superscript"/>
        </w:rPr>
        <w:t>nd</w:t>
      </w:r>
      <w:r w:rsidRPr="00B71300">
        <w:rPr>
          <w:color w:val="000000" w:themeColor="text1"/>
        </w:rPr>
        <w:t xml:space="preserve"> ed.  New York:  Longman.</w:t>
      </w:r>
    </w:p>
    <w:p w14:paraId="72C5BE50" w14:textId="2722EE83" w:rsidR="00416A77" w:rsidRDefault="00416A77" w:rsidP="00BB7572">
      <w:pPr>
        <w:pStyle w:val="NoSpacing"/>
        <w:rPr>
          <w:color w:val="000000" w:themeColor="text1"/>
        </w:rPr>
      </w:pPr>
    </w:p>
    <w:p w14:paraId="40006D7D" w14:textId="77777777" w:rsidR="00416A77" w:rsidRDefault="00416A77" w:rsidP="00416A77">
      <w:pPr>
        <w:pStyle w:val="NoSpacing"/>
        <w:rPr>
          <w:i/>
          <w:color w:val="000000" w:themeColor="text1"/>
        </w:rPr>
      </w:pPr>
      <w:r w:rsidRPr="002E5BC4">
        <w:rPr>
          <w:color w:val="000000" w:themeColor="text1"/>
        </w:rPr>
        <w:t xml:space="preserve">Limerick, P.N., J.N. Ryan, T.R. Brown, and T.A. Comp.  2005.  </w:t>
      </w:r>
      <w:r w:rsidRPr="002E5BC4">
        <w:rPr>
          <w:i/>
          <w:color w:val="000000" w:themeColor="text1"/>
        </w:rPr>
        <w:t xml:space="preserve">Cleaning </w:t>
      </w:r>
      <w:r>
        <w:rPr>
          <w:i/>
          <w:color w:val="000000" w:themeColor="text1"/>
        </w:rPr>
        <w:t>U</w:t>
      </w:r>
      <w:r w:rsidRPr="002E5BC4">
        <w:rPr>
          <w:i/>
          <w:color w:val="000000" w:themeColor="text1"/>
        </w:rPr>
        <w:t xml:space="preserve">p </w:t>
      </w:r>
      <w:r>
        <w:rPr>
          <w:i/>
          <w:color w:val="000000" w:themeColor="text1"/>
        </w:rPr>
        <w:t>A</w:t>
      </w:r>
      <w:r w:rsidRPr="002E5BC4">
        <w:rPr>
          <w:i/>
          <w:color w:val="000000" w:themeColor="text1"/>
        </w:rPr>
        <w:t>bandoned</w:t>
      </w:r>
    </w:p>
    <w:p w14:paraId="206F778C" w14:textId="0928C2AD" w:rsidR="00416A77" w:rsidRDefault="00416A77" w:rsidP="00416A77">
      <w:pPr>
        <w:pStyle w:val="NoSpacing"/>
        <w:ind w:left="720"/>
        <w:rPr>
          <w:color w:val="000000" w:themeColor="text1"/>
        </w:rPr>
      </w:pPr>
      <w:r w:rsidRPr="002E5BC4">
        <w:rPr>
          <w:i/>
          <w:color w:val="000000" w:themeColor="text1"/>
        </w:rPr>
        <w:t>Hardrock</w:t>
      </w:r>
      <w:r>
        <w:rPr>
          <w:i/>
          <w:color w:val="000000" w:themeColor="text1"/>
        </w:rPr>
        <w:t xml:space="preserve"> M</w:t>
      </w:r>
      <w:r w:rsidRPr="002E5BC4">
        <w:rPr>
          <w:i/>
          <w:color w:val="000000" w:themeColor="text1"/>
        </w:rPr>
        <w:t xml:space="preserve">ines in the West:  Prospecting for </w:t>
      </w:r>
      <w:r>
        <w:rPr>
          <w:i/>
          <w:color w:val="000000" w:themeColor="text1"/>
        </w:rPr>
        <w:t>B</w:t>
      </w:r>
      <w:r w:rsidRPr="002E5BC4">
        <w:rPr>
          <w:i/>
          <w:color w:val="000000" w:themeColor="text1"/>
        </w:rPr>
        <w:t xml:space="preserve">etter </w:t>
      </w:r>
      <w:r>
        <w:rPr>
          <w:i/>
          <w:color w:val="000000" w:themeColor="text1"/>
        </w:rPr>
        <w:t>F</w:t>
      </w:r>
      <w:r w:rsidRPr="002E5BC4">
        <w:rPr>
          <w:i/>
          <w:color w:val="000000" w:themeColor="text1"/>
        </w:rPr>
        <w:t>uture</w:t>
      </w:r>
      <w:r w:rsidRPr="00416A77">
        <w:rPr>
          <w:color w:val="000000" w:themeColor="text1"/>
        </w:rPr>
        <w:t>.  Boulder:</w:t>
      </w:r>
      <w:r>
        <w:rPr>
          <w:i/>
          <w:color w:val="000000" w:themeColor="text1"/>
        </w:rPr>
        <w:t xml:space="preserve">  </w:t>
      </w:r>
      <w:r w:rsidRPr="002E5BC4">
        <w:rPr>
          <w:color w:val="000000" w:themeColor="text1"/>
        </w:rPr>
        <w:t>Center for the American West, University of Colorado</w:t>
      </w:r>
      <w:r>
        <w:rPr>
          <w:color w:val="000000" w:themeColor="text1"/>
        </w:rPr>
        <w:t>.</w:t>
      </w:r>
    </w:p>
    <w:p w14:paraId="7BC11E5E" w14:textId="3AB6ECD7" w:rsidR="00416A77" w:rsidRDefault="00416A77" w:rsidP="00416A77">
      <w:pPr>
        <w:pStyle w:val="NoSpacing"/>
        <w:rPr>
          <w:i/>
          <w:color w:val="000000" w:themeColor="text1"/>
        </w:rPr>
      </w:pPr>
    </w:p>
    <w:p w14:paraId="0828B3A8" w14:textId="77777777" w:rsidR="00416A77" w:rsidRDefault="00416A77" w:rsidP="00416A77">
      <w:pPr>
        <w:pStyle w:val="EndnoteText"/>
      </w:pPr>
      <w:r w:rsidRPr="00CB20D5">
        <w:t>Moyer,</w:t>
      </w:r>
      <w:r>
        <w:t xml:space="preserve"> Steve.  2016. </w:t>
      </w:r>
      <w:r w:rsidRPr="00CB20D5">
        <w:t>“Discussion Draft of Good Samaritan Cleanup</w:t>
      </w:r>
      <w:r>
        <w:t xml:space="preserve"> of Orphan Mines Act of</w:t>
      </w:r>
    </w:p>
    <w:p w14:paraId="7BFC40EF" w14:textId="1117F488" w:rsidR="00416A77" w:rsidRDefault="00416A77" w:rsidP="00416A77">
      <w:pPr>
        <w:pStyle w:val="EndnoteText"/>
        <w:ind w:left="720"/>
      </w:pPr>
      <w:r>
        <w:t>2016.”  (T</w:t>
      </w:r>
      <w:r w:rsidRPr="00CB20D5">
        <w:t xml:space="preserve">estimony, Senate Environment and Public Works Committee, Washington, DC, </w:t>
      </w:r>
    </w:p>
    <w:p w14:paraId="6605822B" w14:textId="4EC879FA" w:rsidR="00416A77" w:rsidRPr="007536B8" w:rsidRDefault="00416A77" w:rsidP="00416A77">
      <w:pPr>
        <w:pStyle w:val="EndnoteText"/>
        <w:ind w:left="720"/>
      </w:pPr>
      <w:r w:rsidRPr="00CB20D5">
        <w:t xml:space="preserve">March 2, 2016). </w:t>
      </w:r>
    </w:p>
    <w:p w14:paraId="16A8D524" w14:textId="77777777" w:rsidR="00416A77" w:rsidRPr="00416A77" w:rsidRDefault="00416A77" w:rsidP="00416A77">
      <w:pPr>
        <w:pStyle w:val="NoSpacing"/>
        <w:rPr>
          <w:color w:val="000000" w:themeColor="text1"/>
        </w:rPr>
      </w:pPr>
    </w:p>
    <w:p w14:paraId="5D10678F" w14:textId="77777777" w:rsidR="00416A77" w:rsidRPr="00BF1060" w:rsidRDefault="00416A77" w:rsidP="00416A77">
      <w:pPr>
        <w:pStyle w:val="NoSpacing"/>
        <w:rPr>
          <w:i/>
        </w:rPr>
      </w:pPr>
      <w:r w:rsidRPr="002E5BC4">
        <w:t xml:space="preserve">Parrington, Vernon L.  1930. </w:t>
      </w:r>
      <w:r w:rsidRPr="00BF1060">
        <w:rPr>
          <w:i/>
        </w:rPr>
        <w:t>The Beginnings of Critical Realism in America 1860</w:t>
      </w:r>
    </w:p>
    <w:p w14:paraId="04DE639B" w14:textId="57A40B2B" w:rsidR="00BB7572" w:rsidRPr="00416A77" w:rsidRDefault="00416A77" w:rsidP="00416A77">
      <w:pPr>
        <w:pStyle w:val="NoSpacing"/>
        <w:ind w:left="720"/>
      </w:pPr>
      <w:r w:rsidRPr="00BF1060">
        <w:rPr>
          <w:i/>
        </w:rPr>
        <w:t>1920:  Main Currents in American Thought, Volume III</w:t>
      </w:r>
      <w:r>
        <w:t xml:space="preserve">.  </w:t>
      </w:r>
      <w:r w:rsidRPr="002E5BC4">
        <w:t>New York</w:t>
      </w:r>
      <w:r>
        <w:t>:  Harcourt Brace and Co</w:t>
      </w:r>
      <w:r w:rsidRPr="002E5BC4">
        <w:t xml:space="preserve">. </w:t>
      </w:r>
    </w:p>
    <w:p w14:paraId="07A19651" w14:textId="77777777" w:rsidR="00416A77" w:rsidRPr="00B71300" w:rsidRDefault="00416A77" w:rsidP="00BB7572">
      <w:pPr>
        <w:pStyle w:val="NoSpacing"/>
        <w:rPr>
          <w:color w:val="000000" w:themeColor="text1"/>
        </w:rPr>
      </w:pPr>
    </w:p>
    <w:p w14:paraId="58626FDA" w14:textId="77777777" w:rsidR="00BB7572" w:rsidRDefault="00BB7572" w:rsidP="00BB7572">
      <w:pPr>
        <w:rPr>
          <w:i/>
          <w:color w:val="000000" w:themeColor="text1"/>
        </w:rPr>
      </w:pPr>
      <w:r w:rsidRPr="00B71300">
        <w:rPr>
          <w:color w:val="000000" w:themeColor="text1"/>
        </w:rPr>
        <w:t xml:space="preserve">Romero, J.  2018.  “EPA’s Quick-Action Superfund Plan Receives Flak </w:t>
      </w:r>
      <w:proofErr w:type="gramStart"/>
      <w:r w:rsidRPr="00B71300">
        <w:rPr>
          <w:color w:val="000000" w:themeColor="text1"/>
        </w:rPr>
        <w:t>From</w:t>
      </w:r>
      <w:proofErr w:type="gramEnd"/>
      <w:r w:rsidRPr="00B71300">
        <w:rPr>
          <w:color w:val="000000" w:themeColor="text1"/>
        </w:rPr>
        <w:t xml:space="preserve"> Commenters.”  </w:t>
      </w:r>
      <w:r w:rsidRPr="00B71300">
        <w:rPr>
          <w:i/>
          <w:color w:val="000000" w:themeColor="text1"/>
        </w:rPr>
        <w:t>The</w:t>
      </w:r>
    </w:p>
    <w:p w14:paraId="298936AB" w14:textId="20801A56" w:rsidR="00BB7572" w:rsidRPr="00BB7572" w:rsidRDefault="00BB7572" w:rsidP="00BB7572">
      <w:pPr>
        <w:ind w:firstLine="720"/>
        <w:rPr>
          <w:i/>
          <w:color w:val="000000" w:themeColor="text1"/>
        </w:rPr>
      </w:pPr>
      <w:r w:rsidRPr="00B71300">
        <w:rPr>
          <w:i/>
          <w:color w:val="000000" w:themeColor="text1"/>
        </w:rPr>
        <w:t>Durango</w:t>
      </w:r>
      <w:r>
        <w:rPr>
          <w:i/>
          <w:color w:val="000000" w:themeColor="text1"/>
        </w:rPr>
        <w:t xml:space="preserve"> </w:t>
      </w:r>
      <w:r w:rsidRPr="00B71300">
        <w:rPr>
          <w:i/>
          <w:color w:val="000000" w:themeColor="text1"/>
        </w:rPr>
        <w:t>Herald</w:t>
      </w:r>
      <w:r w:rsidRPr="00B71300">
        <w:rPr>
          <w:color w:val="000000" w:themeColor="text1"/>
        </w:rPr>
        <w:t xml:space="preserve">, September 14, 2008.  </w:t>
      </w:r>
      <w:hyperlink r:id="rId22" w:history="1">
        <w:r w:rsidRPr="00B71300">
          <w:rPr>
            <w:rStyle w:val="Hyperlink"/>
            <w:color w:val="000000" w:themeColor="text1"/>
          </w:rPr>
          <w:t>https://durangoherald.com/articles/241333</w:t>
        </w:r>
      </w:hyperlink>
    </w:p>
    <w:p w14:paraId="100314E4" w14:textId="77777777" w:rsidR="00BB7572" w:rsidRPr="00B71300" w:rsidRDefault="00BB7572" w:rsidP="00BB7572">
      <w:pPr>
        <w:pStyle w:val="NoSpacing"/>
        <w:rPr>
          <w:color w:val="000000" w:themeColor="text1"/>
        </w:rPr>
      </w:pPr>
    </w:p>
    <w:p w14:paraId="799B0590" w14:textId="77777777" w:rsidR="00BB7572" w:rsidRDefault="00BB7572" w:rsidP="00BB7572">
      <w:pPr>
        <w:rPr>
          <w:i/>
          <w:color w:val="000000" w:themeColor="text1"/>
        </w:rPr>
      </w:pPr>
      <w:r w:rsidRPr="00B71300">
        <w:rPr>
          <w:color w:val="000000" w:themeColor="text1"/>
        </w:rPr>
        <w:t xml:space="preserve">________ .  2018.  “Which was Worse for Water Quality:  Gold King Mine Spill or 416 Fire.”  </w:t>
      </w:r>
      <w:r w:rsidRPr="00B71300">
        <w:rPr>
          <w:i/>
          <w:color w:val="000000" w:themeColor="text1"/>
        </w:rPr>
        <w:t>The</w:t>
      </w:r>
    </w:p>
    <w:p w14:paraId="36360582" w14:textId="408EF098" w:rsidR="00BB7572" w:rsidRPr="00BB7572" w:rsidRDefault="00BB7572" w:rsidP="00BB7572">
      <w:pPr>
        <w:ind w:firstLine="720"/>
        <w:rPr>
          <w:i/>
          <w:color w:val="000000" w:themeColor="text1"/>
        </w:rPr>
      </w:pPr>
      <w:r w:rsidRPr="00B71300">
        <w:rPr>
          <w:i/>
          <w:color w:val="000000" w:themeColor="text1"/>
        </w:rPr>
        <w:t>Durango</w:t>
      </w:r>
      <w:r>
        <w:rPr>
          <w:i/>
          <w:color w:val="000000" w:themeColor="text1"/>
        </w:rPr>
        <w:t xml:space="preserve"> </w:t>
      </w:r>
      <w:r w:rsidRPr="00B71300">
        <w:rPr>
          <w:i/>
          <w:color w:val="000000" w:themeColor="text1"/>
        </w:rPr>
        <w:t>Herald</w:t>
      </w:r>
      <w:r w:rsidRPr="00B71300">
        <w:rPr>
          <w:color w:val="000000" w:themeColor="text1"/>
        </w:rPr>
        <w:t xml:space="preserve">, November 3, 2018.  </w:t>
      </w:r>
      <w:hyperlink r:id="rId23" w:history="1">
        <w:r w:rsidRPr="00B71300">
          <w:rPr>
            <w:rStyle w:val="Hyperlink"/>
            <w:color w:val="000000" w:themeColor="text1"/>
          </w:rPr>
          <w:t>https://durangoherald.com/articles/248846</w:t>
        </w:r>
      </w:hyperlink>
    </w:p>
    <w:p w14:paraId="517E0B17" w14:textId="5F013A61" w:rsidR="00BB7572" w:rsidRDefault="00BB7572" w:rsidP="00BB7572">
      <w:pPr>
        <w:pStyle w:val="NoSpacing"/>
        <w:rPr>
          <w:color w:val="000000" w:themeColor="text1"/>
        </w:rPr>
      </w:pPr>
    </w:p>
    <w:p w14:paraId="10FEF852" w14:textId="77777777" w:rsidR="00DB1F9C" w:rsidRDefault="004F19C6" w:rsidP="00BB7572">
      <w:pPr>
        <w:pStyle w:val="NoSpacing"/>
        <w:rPr>
          <w:color w:val="000000" w:themeColor="text1"/>
        </w:rPr>
      </w:pPr>
      <w:r>
        <w:rPr>
          <w:color w:val="000000" w:themeColor="text1"/>
        </w:rPr>
        <w:t>Skous</w:t>
      </w:r>
      <w:r w:rsidR="00B6545B">
        <w:rPr>
          <w:color w:val="000000" w:themeColor="text1"/>
        </w:rPr>
        <w:t xml:space="preserve">en, H.G., A. </w:t>
      </w:r>
      <w:proofErr w:type="spellStart"/>
      <w:r w:rsidR="00B6545B">
        <w:rPr>
          <w:color w:val="000000" w:themeColor="text1"/>
        </w:rPr>
        <w:t>Sexstone</w:t>
      </w:r>
      <w:proofErr w:type="spellEnd"/>
      <w:r w:rsidR="00B6545B">
        <w:rPr>
          <w:color w:val="000000" w:themeColor="text1"/>
        </w:rPr>
        <w:t xml:space="preserve">, and P.F. </w:t>
      </w:r>
      <w:proofErr w:type="spellStart"/>
      <w:r w:rsidR="00B6545B">
        <w:rPr>
          <w:color w:val="000000" w:themeColor="text1"/>
        </w:rPr>
        <w:t>Ziemkiewicz</w:t>
      </w:r>
      <w:proofErr w:type="spellEnd"/>
      <w:r w:rsidR="00B6545B">
        <w:rPr>
          <w:color w:val="000000" w:themeColor="text1"/>
        </w:rPr>
        <w:t>.  2000.  “Acid Mine Drainage Control and</w:t>
      </w:r>
    </w:p>
    <w:p w14:paraId="4D299286" w14:textId="36A5C839" w:rsidR="004F19C6" w:rsidRPr="00DB1F9C" w:rsidRDefault="00B6545B" w:rsidP="00DB1F9C">
      <w:pPr>
        <w:pStyle w:val="NoSpacing"/>
        <w:ind w:left="720"/>
        <w:rPr>
          <w:color w:val="000000" w:themeColor="text1"/>
        </w:rPr>
      </w:pPr>
      <w:r>
        <w:rPr>
          <w:color w:val="000000" w:themeColor="text1"/>
        </w:rPr>
        <w:t xml:space="preserve">Treatment”.  In </w:t>
      </w:r>
      <w:r>
        <w:rPr>
          <w:i/>
          <w:color w:val="000000" w:themeColor="text1"/>
        </w:rPr>
        <w:t>Reclamation of Drastically Disturbed Lands</w:t>
      </w:r>
      <w:r w:rsidR="00DB1F9C">
        <w:rPr>
          <w:i/>
          <w:color w:val="000000" w:themeColor="text1"/>
        </w:rPr>
        <w:t>, 2</w:t>
      </w:r>
      <w:r w:rsidR="00DB1F9C" w:rsidRPr="00DB1F9C">
        <w:rPr>
          <w:i/>
          <w:color w:val="000000" w:themeColor="text1"/>
          <w:vertAlign w:val="superscript"/>
        </w:rPr>
        <w:t>nd</w:t>
      </w:r>
      <w:r w:rsidR="00DB1F9C">
        <w:rPr>
          <w:i/>
          <w:color w:val="000000" w:themeColor="text1"/>
        </w:rPr>
        <w:t xml:space="preserve"> ed</w:t>
      </w:r>
      <w:r w:rsidR="00DB1F9C">
        <w:rPr>
          <w:color w:val="000000" w:themeColor="text1"/>
        </w:rPr>
        <w:t xml:space="preserve">., 131-168.  Madison: American Society of Agronomy. </w:t>
      </w:r>
    </w:p>
    <w:p w14:paraId="0ED5CC9C" w14:textId="77777777" w:rsidR="004F19C6" w:rsidRPr="00B71300" w:rsidRDefault="004F19C6" w:rsidP="00BB7572">
      <w:pPr>
        <w:pStyle w:val="NoSpacing"/>
        <w:rPr>
          <w:color w:val="000000" w:themeColor="text1"/>
        </w:rPr>
      </w:pPr>
    </w:p>
    <w:p w14:paraId="6B7C5A67" w14:textId="77777777" w:rsidR="00BB7572" w:rsidRPr="00B71300" w:rsidRDefault="00BB7572" w:rsidP="00BB7572">
      <w:pPr>
        <w:pStyle w:val="NoSpacing"/>
        <w:rPr>
          <w:i/>
          <w:color w:val="000000" w:themeColor="text1"/>
        </w:rPr>
      </w:pPr>
      <w:r w:rsidRPr="00B71300">
        <w:rPr>
          <w:color w:val="000000" w:themeColor="text1"/>
        </w:rPr>
        <w:t xml:space="preserve">Smith, C. 1992. </w:t>
      </w:r>
      <w:r w:rsidRPr="00B71300">
        <w:rPr>
          <w:i/>
          <w:color w:val="000000" w:themeColor="text1"/>
        </w:rPr>
        <w:t>Media and Apocalypse: News Coverage of the Yellowstone Forest Fires,</w:t>
      </w:r>
    </w:p>
    <w:p w14:paraId="1CA51496" w14:textId="77777777" w:rsidR="00BB7572" w:rsidRPr="00B71300" w:rsidRDefault="00BB7572" w:rsidP="00BB7572">
      <w:pPr>
        <w:pStyle w:val="NoSpacing"/>
        <w:ind w:firstLine="720"/>
        <w:rPr>
          <w:color w:val="000000" w:themeColor="text1"/>
        </w:rPr>
      </w:pPr>
      <w:r w:rsidRPr="00B71300">
        <w:rPr>
          <w:i/>
          <w:color w:val="000000" w:themeColor="text1"/>
        </w:rPr>
        <w:t xml:space="preserve">Exxon Valdez Oil Spill, and Loma </w:t>
      </w:r>
      <w:proofErr w:type="spellStart"/>
      <w:r w:rsidRPr="00B71300">
        <w:rPr>
          <w:i/>
          <w:color w:val="000000" w:themeColor="text1"/>
        </w:rPr>
        <w:t>Prieta</w:t>
      </w:r>
      <w:proofErr w:type="spellEnd"/>
      <w:r w:rsidRPr="00B71300">
        <w:rPr>
          <w:i/>
          <w:color w:val="000000" w:themeColor="text1"/>
        </w:rPr>
        <w:t xml:space="preserve"> Earthquake</w:t>
      </w:r>
      <w:r w:rsidRPr="00B71300">
        <w:rPr>
          <w:color w:val="000000" w:themeColor="text1"/>
        </w:rPr>
        <w:t>. Westport: Greenwood Press.</w:t>
      </w:r>
    </w:p>
    <w:p w14:paraId="04137904" w14:textId="77777777" w:rsidR="00BB7572" w:rsidRPr="00B71300" w:rsidRDefault="00BB7572" w:rsidP="00BB7572">
      <w:pPr>
        <w:pStyle w:val="NoSpacing"/>
        <w:rPr>
          <w:color w:val="000000" w:themeColor="text1"/>
        </w:rPr>
      </w:pPr>
    </w:p>
    <w:p w14:paraId="12531044" w14:textId="77777777" w:rsidR="00BB7572" w:rsidRDefault="00BB7572" w:rsidP="00BB7572">
      <w:pPr>
        <w:pStyle w:val="NoSpacing"/>
        <w:rPr>
          <w:color w:val="000000" w:themeColor="text1"/>
        </w:rPr>
      </w:pPr>
      <w:r w:rsidRPr="00B71300">
        <w:rPr>
          <w:color w:val="000000" w:themeColor="text1"/>
        </w:rPr>
        <w:t>t' Hart, P. and A. Boin.  2001.  “Between Crisis and Normalcy:  The Long Shadow of Post-Crisis</w:t>
      </w:r>
    </w:p>
    <w:p w14:paraId="42200251" w14:textId="01DBF101" w:rsidR="00BB7572" w:rsidRPr="00B71300" w:rsidRDefault="00BB7572" w:rsidP="00BB7572">
      <w:pPr>
        <w:pStyle w:val="NoSpacing"/>
        <w:ind w:left="720"/>
        <w:rPr>
          <w:color w:val="000000" w:themeColor="text1"/>
        </w:rPr>
      </w:pPr>
      <w:r w:rsidRPr="00B71300">
        <w:rPr>
          <w:color w:val="000000" w:themeColor="text1"/>
        </w:rPr>
        <w:t xml:space="preserve">Politics”. </w:t>
      </w:r>
      <w:r>
        <w:rPr>
          <w:color w:val="000000" w:themeColor="text1"/>
        </w:rPr>
        <w:t xml:space="preserve"> </w:t>
      </w:r>
      <w:r w:rsidRPr="00B71300">
        <w:rPr>
          <w:color w:val="000000" w:themeColor="text1"/>
        </w:rPr>
        <w:t xml:space="preserve">In </w:t>
      </w:r>
      <w:r w:rsidRPr="00B71300">
        <w:rPr>
          <w:i/>
          <w:color w:val="000000" w:themeColor="text1"/>
        </w:rPr>
        <w:t>Managing Crises:  Threats, Dilemmas, Opportunities</w:t>
      </w:r>
      <w:r w:rsidRPr="00B71300">
        <w:rPr>
          <w:color w:val="000000" w:themeColor="text1"/>
        </w:rPr>
        <w:t>, edited by U. Rosenthal, A. Boin, and Louise Comfort.  Springfield:  Charles C. Thomas Publishers.</w:t>
      </w:r>
    </w:p>
    <w:p w14:paraId="6105A894" w14:textId="6DB95800" w:rsidR="00BB7572" w:rsidRPr="00B71300" w:rsidRDefault="00BB7572" w:rsidP="00BB7572">
      <w:pPr>
        <w:pStyle w:val="NoSpacing"/>
        <w:rPr>
          <w:color w:val="000000" w:themeColor="text1"/>
        </w:rPr>
      </w:pPr>
      <w:r>
        <w:rPr>
          <w:color w:val="000000" w:themeColor="text1"/>
        </w:rPr>
        <w:tab/>
      </w:r>
    </w:p>
    <w:p w14:paraId="312116B9" w14:textId="1879A265" w:rsidR="00BB7572" w:rsidRPr="00B71300" w:rsidRDefault="00BB7572" w:rsidP="00BB7572">
      <w:pPr>
        <w:rPr>
          <w:color w:val="000000" w:themeColor="text1"/>
        </w:rPr>
      </w:pPr>
      <w:r w:rsidRPr="00B71300">
        <w:rPr>
          <w:color w:val="000000" w:themeColor="text1"/>
        </w:rPr>
        <w:t xml:space="preserve">Weible, C., P.A., Sabatier, H. Jenkins-Smith, D. </w:t>
      </w:r>
      <w:proofErr w:type="spellStart"/>
      <w:r w:rsidRPr="00B71300">
        <w:rPr>
          <w:color w:val="000000" w:themeColor="text1"/>
        </w:rPr>
        <w:t>Nohrstedt</w:t>
      </w:r>
      <w:proofErr w:type="spellEnd"/>
      <w:r w:rsidRPr="00B71300">
        <w:rPr>
          <w:color w:val="000000" w:themeColor="text1"/>
        </w:rPr>
        <w:t>, A. Henry, and P. de</w:t>
      </w:r>
      <w:r w:rsidR="00B579D1">
        <w:rPr>
          <w:color w:val="000000" w:themeColor="text1"/>
        </w:rPr>
        <w:t xml:space="preserve"> </w:t>
      </w:r>
      <w:bookmarkStart w:id="0" w:name="_GoBack"/>
      <w:bookmarkEnd w:id="0"/>
      <w:r w:rsidRPr="00B71300">
        <w:rPr>
          <w:color w:val="000000" w:themeColor="text1"/>
        </w:rPr>
        <w:t>Leon.  2011.  “A</w:t>
      </w:r>
    </w:p>
    <w:p w14:paraId="5D7192B1" w14:textId="77777777" w:rsidR="00BB7572" w:rsidRPr="00B71300" w:rsidRDefault="00BB7572" w:rsidP="00BB7572">
      <w:pPr>
        <w:ind w:left="720"/>
        <w:rPr>
          <w:color w:val="000000" w:themeColor="text1"/>
        </w:rPr>
      </w:pPr>
      <w:r w:rsidRPr="00B71300">
        <w:rPr>
          <w:color w:val="000000" w:themeColor="text1"/>
        </w:rPr>
        <w:t xml:space="preserve">Quarter Century of the Advocacy Coalition Framework: An Introduction to the Special Issue.”  </w:t>
      </w:r>
      <w:r w:rsidRPr="00B71300">
        <w:rPr>
          <w:i/>
          <w:color w:val="000000" w:themeColor="text1"/>
        </w:rPr>
        <w:t xml:space="preserve">Policy Studies Journal </w:t>
      </w:r>
      <w:r w:rsidRPr="00B71300">
        <w:rPr>
          <w:color w:val="000000" w:themeColor="text1"/>
        </w:rPr>
        <w:t xml:space="preserve">39, no. 3: 349-360. </w:t>
      </w:r>
    </w:p>
    <w:p w14:paraId="2975584F" w14:textId="77777777" w:rsidR="00BB7572" w:rsidRDefault="00BB757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askerville SemiBold Italic">
    <w:panose1 w:val="02020702070400090203"/>
    <w:charset w:val="00"/>
    <w:family w:val="auto"/>
    <w:pitch w:val="variable"/>
    <w:sig w:usb0="80000067" w:usb1="00000040" w:usb2="00000000" w:usb3="00000000" w:csb0="0000019F" w:csb1="00000000"/>
  </w:font>
  <w:font w:name="Helvetica">
    <w:panose1 w:val="00000000000000000000"/>
    <w:charset w:val="00"/>
    <w:family w:val="auto"/>
    <w:pitch w:val="variable"/>
    <w:sig w:usb0="E00002FF" w:usb1="5000785B" w:usb2="00000000" w:usb3="00000000" w:csb0="0000019F" w:csb1="00000000"/>
  </w:font>
  <w:font w:name="ProximaNova-Regular">
    <w:altName w:val="Cambria"/>
    <w:panose1 w:val="020B0604020202020204"/>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3782644"/>
      <w:docPartObj>
        <w:docPartGallery w:val="Page Numbers (Bottom of Page)"/>
        <w:docPartUnique/>
      </w:docPartObj>
    </w:sdtPr>
    <w:sdtEndPr>
      <w:rPr>
        <w:rStyle w:val="PageNumber"/>
      </w:rPr>
    </w:sdtEndPr>
    <w:sdtContent>
      <w:p w14:paraId="497C6252" w14:textId="54A68DB6" w:rsidR="004C7347" w:rsidRDefault="004C7347" w:rsidP="007340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90438D" w14:textId="77777777" w:rsidR="004C7347" w:rsidRDefault="004C7347" w:rsidP="00FB67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71344067"/>
      <w:docPartObj>
        <w:docPartGallery w:val="Page Numbers (Bottom of Page)"/>
        <w:docPartUnique/>
      </w:docPartObj>
    </w:sdtPr>
    <w:sdtEndPr>
      <w:rPr>
        <w:rStyle w:val="PageNumber"/>
      </w:rPr>
    </w:sdtEndPr>
    <w:sdtContent>
      <w:p w14:paraId="6D301015" w14:textId="7C5580CA" w:rsidR="004C7347" w:rsidRDefault="004C7347" w:rsidP="007340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- 2 -</w:t>
        </w:r>
        <w:r>
          <w:rPr>
            <w:rStyle w:val="PageNumber"/>
          </w:rPr>
          <w:fldChar w:fldCharType="end"/>
        </w:r>
      </w:p>
    </w:sdtContent>
  </w:sdt>
  <w:p w14:paraId="0296C5D4" w14:textId="77777777" w:rsidR="004C7347" w:rsidRDefault="004C7347" w:rsidP="00FB673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B6C97" w14:textId="77777777" w:rsidR="005749DE" w:rsidRDefault="005749DE" w:rsidP="00612E5B">
      <w:r>
        <w:separator/>
      </w:r>
    </w:p>
  </w:footnote>
  <w:footnote w:type="continuationSeparator" w:id="0">
    <w:p w14:paraId="2570BF67" w14:textId="77777777" w:rsidR="005749DE" w:rsidRDefault="005749DE" w:rsidP="00612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E32914"/>
    <w:multiLevelType w:val="hybridMultilevel"/>
    <w:tmpl w:val="ED1CFE9E"/>
    <w:lvl w:ilvl="0" w:tplc="344A4D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AB1AB4"/>
    <w:multiLevelType w:val="hybridMultilevel"/>
    <w:tmpl w:val="C7CA04AC"/>
    <w:lvl w:ilvl="0" w:tplc="E8384D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CD39F0"/>
    <w:multiLevelType w:val="hybridMultilevel"/>
    <w:tmpl w:val="9D82F186"/>
    <w:lvl w:ilvl="0" w:tplc="61D233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E5B"/>
    <w:rsid w:val="00003A96"/>
    <w:rsid w:val="00015785"/>
    <w:rsid w:val="000544EF"/>
    <w:rsid w:val="000844A2"/>
    <w:rsid w:val="000A7EE4"/>
    <w:rsid w:val="000C4C22"/>
    <w:rsid w:val="000E430B"/>
    <w:rsid w:val="001600C7"/>
    <w:rsid w:val="00162EC0"/>
    <w:rsid w:val="0016439F"/>
    <w:rsid w:val="00186A2C"/>
    <w:rsid w:val="00225612"/>
    <w:rsid w:val="002423F3"/>
    <w:rsid w:val="00253134"/>
    <w:rsid w:val="00327AA3"/>
    <w:rsid w:val="003544AC"/>
    <w:rsid w:val="00387FF5"/>
    <w:rsid w:val="00416A77"/>
    <w:rsid w:val="00432595"/>
    <w:rsid w:val="00434A4B"/>
    <w:rsid w:val="004357D8"/>
    <w:rsid w:val="00447DA5"/>
    <w:rsid w:val="00450D59"/>
    <w:rsid w:val="004A450E"/>
    <w:rsid w:val="004C7347"/>
    <w:rsid w:val="004F19C6"/>
    <w:rsid w:val="004F27F2"/>
    <w:rsid w:val="005033C2"/>
    <w:rsid w:val="00540F6A"/>
    <w:rsid w:val="005717AE"/>
    <w:rsid w:val="005749DE"/>
    <w:rsid w:val="0058368A"/>
    <w:rsid w:val="005A3A35"/>
    <w:rsid w:val="005E7191"/>
    <w:rsid w:val="00606F5E"/>
    <w:rsid w:val="00612E5B"/>
    <w:rsid w:val="00617B3D"/>
    <w:rsid w:val="0062350D"/>
    <w:rsid w:val="00674DFF"/>
    <w:rsid w:val="006C2A8E"/>
    <w:rsid w:val="006E2F0F"/>
    <w:rsid w:val="006E2F8E"/>
    <w:rsid w:val="00704821"/>
    <w:rsid w:val="007340F5"/>
    <w:rsid w:val="0075509C"/>
    <w:rsid w:val="00760024"/>
    <w:rsid w:val="00783095"/>
    <w:rsid w:val="0079285A"/>
    <w:rsid w:val="0079666A"/>
    <w:rsid w:val="007B44A3"/>
    <w:rsid w:val="007F440A"/>
    <w:rsid w:val="008243B3"/>
    <w:rsid w:val="008524A7"/>
    <w:rsid w:val="008B2293"/>
    <w:rsid w:val="008B6A4E"/>
    <w:rsid w:val="008D2504"/>
    <w:rsid w:val="00914D8E"/>
    <w:rsid w:val="00916D9C"/>
    <w:rsid w:val="00924FA8"/>
    <w:rsid w:val="00931DAF"/>
    <w:rsid w:val="0095350D"/>
    <w:rsid w:val="00983FE0"/>
    <w:rsid w:val="0098746F"/>
    <w:rsid w:val="009B463D"/>
    <w:rsid w:val="009C23E3"/>
    <w:rsid w:val="00A1163F"/>
    <w:rsid w:val="00A3000B"/>
    <w:rsid w:val="00A441F1"/>
    <w:rsid w:val="00A552DB"/>
    <w:rsid w:val="00A6151A"/>
    <w:rsid w:val="00A75427"/>
    <w:rsid w:val="00A851D1"/>
    <w:rsid w:val="00A956A9"/>
    <w:rsid w:val="00B123B1"/>
    <w:rsid w:val="00B1634A"/>
    <w:rsid w:val="00B50B05"/>
    <w:rsid w:val="00B579D1"/>
    <w:rsid w:val="00B61360"/>
    <w:rsid w:val="00B6545B"/>
    <w:rsid w:val="00B9285E"/>
    <w:rsid w:val="00BB20F2"/>
    <w:rsid w:val="00BB7572"/>
    <w:rsid w:val="00BD5944"/>
    <w:rsid w:val="00C0162E"/>
    <w:rsid w:val="00C12E1B"/>
    <w:rsid w:val="00C1699B"/>
    <w:rsid w:val="00C4433D"/>
    <w:rsid w:val="00C54A11"/>
    <w:rsid w:val="00C56ABE"/>
    <w:rsid w:val="00C62831"/>
    <w:rsid w:val="00C6411C"/>
    <w:rsid w:val="00C73BB4"/>
    <w:rsid w:val="00C809E5"/>
    <w:rsid w:val="00C82518"/>
    <w:rsid w:val="00CB2806"/>
    <w:rsid w:val="00CC7538"/>
    <w:rsid w:val="00CD04CD"/>
    <w:rsid w:val="00CE6FBD"/>
    <w:rsid w:val="00CF0F6C"/>
    <w:rsid w:val="00D115FE"/>
    <w:rsid w:val="00D408EC"/>
    <w:rsid w:val="00D87D1A"/>
    <w:rsid w:val="00D91A3D"/>
    <w:rsid w:val="00DA79B2"/>
    <w:rsid w:val="00DB1F9C"/>
    <w:rsid w:val="00DD0F1C"/>
    <w:rsid w:val="00DD5D96"/>
    <w:rsid w:val="00E106C9"/>
    <w:rsid w:val="00E37330"/>
    <w:rsid w:val="00E45632"/>
    <w:rsid w:val="00E63FC1"/>
    <w:rsid w:val="00E64A72"/>
    <w:rsid w:val="00E87D8B"/>
    <w:rsid w:val="00EA3BD5"/>
    <w:rsid w:val="00EA4710"/>
    <w:rsid w:val="00EC52DE"/>
    <w:rsid w:val="00ED670A"/>
    <w:rsid w:val="00EE2D1F"/>
    <w:rsid w:val="00EF027E"/>
    <w:rsid w:val="00F15CD8"/>
    <w:rsid w:val="00F17CC9"/>
    <w:rsid w:val="00F214F3"/>
    <w:rsid w:val="00F56A9D"/>
    <w:rsid w:val="00F61D44"/>
    <w:rsid w:val="00F80F63"/>
    <w:rsid w:val="00F9527E"/>
    <w:rsid w:val="00F979BE"/>
    <w:rsid w:val="00FB673A"/>
    <w:rsid w:val="00FC3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576F3"/>
  <w14:defaultImageDpi w14:val="32767"/>
  <w15:chartTrackingRefBased/>
  <w15:docId w15:val="{380131DA-F191-E345-8EF6-AE7DDBBC4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12E5B"/>
    <w:rPr>
      <w:rFonts w:eastAsiaTheme="minorEastAsia"/>
    </w:rPr>
  </w:style>
  <w:style w:type="paragraph" w:styleId="Heading1">
    <w:name w:val="heading 1"/>
    <w:basedOn w:val="Normal"/>
    <w:link w:val="Heading1Char"/>
    <w:uiPriority w:val="9"/>
    <w:qFormat/>
    <w:rsid w:val="00612E5B"/>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E5B"/>
    <w:rPr>
      <w:rFonts w:ascii="Times" w:eastAsiaTheme="minorEastAsia" w:hAnsi="Times"/>
      <w:b/>
      <w:bCs/>
      <w:kern w:val="36"/>
      <w:sz w:val="48"/>
      <w:szCs w:val="48"/>
    </w:rPr>
  </w:style>
  <w:style w:type="paragraph" w:styleId="EndnoteText">
    <w:name w:val="endnote text"/>
    <w:basedOn w:val="Normal"/>
    <w:link w:val="EndnoteTextChar"/>
    <w:uiPriority w:val="99"/>
    <w:unhideWhenUsed/>
    <w:rsid w:val="00612E5B"/>
  </w:style>
  <w:style w:type="character" w:customStyle="1" w:styleId="EndnoteTextChar">
    <w:name w:val="Endnote Text Char"/>
    <w:basedOn w:val="DefaultParagraphFont"/>
    <w:link w:val="EndnoteText"/>
    <w:uiPriority w:val="99"/>
    <w:rsid w:val="00612E5B"/>
    <w:rPr>
      <w:rFonts w:eastAsiaTheme="minorEastAsia"/>
    </w:rPr>
  </w:style>
  <w:style w:type="character" w:styleId="EndnoteReference">
    <w:name w:val="endnote reference"/>
    <w:basedOn w:val="DefaultParagraphFont"/>
    <w:uiPriority w:val="99"/>
    <w:unhideWhenUsed/>
    <w:rsid w:val="00612E5B"/>
    <w:rPr>
      <w:vertAlign w:val="superscript"/>
    </w:rPr>
  </w:style>
  <w:style w:type="character" w:styleId="Hyperlink">
    <w:name w:val="Hyperlink"/>
    <w:basedOn w:val="DefaultParagraphFont"/>
    <w:uiPriority w:val="99"/>
    <w:unhideWhenUsed/>
    <w:rsid w:val="00612E5B"/>
    <w:rPr>
      <w:color w:val="0563C1" w:themeColor="hyperlink"/>
      <w:u w:val="single"/>
    </w:rPr>
  </w:style>
  <w:style w:type="character" w:customStyle="1" w:styleId="apple-converted-space">
    <w:name w:val="apple-converted-space"/>
    <w:basedOn w:val="DefaultParagraphFont"/>
    <w:rsid w:val="00612E5B"/>
  </w:style>
  <w:style w:type="paragraph" w:styleId="BalloonText">
    <w:name w:val="Balloon Text"/>
    <w:basedOn w:val="Normal"/>
    <w:link w:val="BalloonTextChar"/>
    <w:uiPriority w:val="99"/>
    <w:semiHidden/>
    <w:unhideWhenUsed/>
    <w:rsid w:val="00DD0F1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D0F1C"/>
    <w:rPr>
      <w:rFonts w:ascii="Times New Roman" w:eastAsiaTheme="minorEastAsia" w:hAnsi="Times New Roman" w:cs="Times New Roman"/>
      <w:sz w:val="18"/>
      <w:szCs w:val="18"/>
    </w:rPr>
  </w:style>
  <w:style w:type="character" w:styleId="UnresolvedMention">
    <w:name w:val="Unresolved Mention"/>
    <w:basedOn w:val="DefaultParagraphFont"/>
    <w:uiPriority w:val="99"/>
    <w:rsid w:val="003544AC"/>
    <w:rPr>
      <w:color w:val="605E5C"/>
      <w:shd w:val="clear" w:color="auto" w:fill="E1DFDD"/>
    </w:rPr>
  </w:style>
  <w:style w:type="table" w:styleId="TableGrid">
    <w:name w:val="Table Grid"/>
    <w:basedOn w:val="TableNormal"/>
    <w:uiPriority w:val="39"/>
    <w:rsid w:val="00D91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2EC0"/>
    <w:pPr>
      <w:spacing w:before="100" w:beforeAutospacing="1" w:after="100" w:afterAutospacing="1"/>
    </w:pPr>
    <w:rPr>
      <w:rFonts w:ascii="Times" w:hAnsi="Times" w:cs="Times New Roman"/>
      <w:sz w:val="20"/>
      <w:szCs w:val="20"/>
    </w:rPr>
  </w:style>
  <w:style w:type="paragraph" w:styleId="NoSpacing">
    <w:name w:val="No Spacing"/>
    <w:uiPriority w:val="1"/>
    <w:qFormat/>
    <w:rsid w:val="00540F6A"/>
    <w:rPr>
      <w:rFonts w:eastAsiaTheme="minorEastAsia"/>
    </w:rPr>
  </w:style>
  <w:style w:type="character" w:styleId="FollowedHyperlink">
    <w:name w:val="FollowedHyperlink"/>
    <w:basedOn w:val="DefaultParagraphFont"/>
    <w:uiPriority w:val="99"/>
    <w:semiHidden/>
    <w:unhideWhenUsed/>
    <w:rsid w:val="00B1634A"/>
    <w:rPr>
      <w:color w:val="954F72" w:themeColor="followedHyperlink"/>
      <w:u w:val="single"/>
    </w:rPr>
  </w:style>
  <w:style w:type="paragraph" w:styleId="ListParagraph">
    <w:name w:val="List Paragraph"/>
    <w:basedOn w:val="Normal"/>
    <w:uiPriority w:val="34"/>
    <w:qFormat/>
    <w:rsid w:val="001600C7"/>
    <w:pPr>
      <w:ind w:left="720"/>
      <w:contextualSpacing/>
    </w:pPr>
  </w:style>
  <w:style w:type="paragraph" w:styleId="Footer">
    <w:name w:val="footer"/>
    <w:basedOn w:val="Normal"/>
    <w:link w:val="FooterChar"/>
    <w:uiPriority w:val="99"/>
    <w:unhideWhenUsed/>
    <w:rsid w:val="00FB673A"/>
    <w:pPr>
      <w:tabs>
        <w:tab w:val="center" w:pos="4680"/>
        <w:tab w:val="right" w:pos="9360"/>
      </w:tabs>
    </w:pPr>
  </w:style>
  <w:style w:type="character" w:customStyle="1" w:styleId="FooterChar">
    <w:name w:val="Footer Char"/>
    <w:basedOn w:val="DefaultParagraphFont"/>
    <w:link w:val="Footer"/>
    <w:uiPriority w:val="99"/>
    <w:rsid w:val="00FB673A"/>
    <w:rPr>
      <w:rFonts w:eastAsiaTheme="minorEastAsia"/>
    </w:rPr>
  </w:style>
  <w:style w:type="character" w:styleId="PageNumber">
    <w:name w:val="page number"/>
    <w:basedOn w:val="DefaultParagraphFont"/>
    <w:uiPriority w:val="99"/>
    <w:semiHidden/>
    <w:unhideWhenUsed/>
    <w:rsid w:val="00FB6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1273">
      <w:bodyDiv w:val="1"/>
      <w:marLeft w:val="0"/>
      <w:marRight w:val="0"/>
      <w:marTop w:val="0"/>
      <w:marBottom w:val="0"/>
      <w:divBdr>
        <w:top w:val="none" w:sz="0" w:space="0" w:color="auto"/>
        <w:left w:val="none" w:sz="0" w:space="0" w:color="auto"/>
        <w:bottom w:val="none" w:sz="0" w:space="0" w:color="auto"/>
        <w:right w:val="none" w:sz="0" w:space="0" w:color="auto"/>
      </w:divBdr>
    </w:div>
    <w:div w:id="77604605">
      <w:bodyDiv w:val="1"/>
      <w:marLeft w:val="0"/>
      <w:marRight w:val="0"/>
      <w:marTop w:val="0"/>
      <w:marBottom w:val="0"/>
      <w:divBdr>
        <w:top w:val="none" w:sz="0" w:space="0" w:color="auto"/>
        <w:left w:val="none" w:sz="0" w:space="0" w:color="auto"/>
        <w:bottom w:val="none" w:sz="0" w:space="0" w:color="auto"/>
        <w:right w:val="none" w:sz="0" w:space="0" w:color="auto"/>
      </w:divBdr>
    </w:div>
    <w:div w:id="301235753">
      <w:bodyDiv w:val="1"/>
      <w:marLeft w:val="0"/>
      <w:marRight w:val="0"/>
      <w:marTop w:val="0"/>
      <w:marBottom w:val="0"/>
      <w:divBdr>
        <w:top w:val="none" w:sz="0" w:space="0" w:color="auto"/>
        <w:left w:val="none" w:sz="0" w:space="0" w:color="auto"/>
        <w:bottom w:val="none" w:sz="0" w:space="0" w:color="auto"/>
        <w:right w:val="none" w:sz="0" w:space="0" w:color="auto"/>
      </w:divBdr>
    </w:div>
    <w:div w:id="1133329403">
      <w:bodyDiv w:val="1"/>
      <w:marLeft w:val="0"/>
      <w:marRight w:val="0"/>
      <w:marTop w:val="0"/>
      <w:marBottom w:val="0"/>
      <w:divBdr>
        <w:top w:val="none" w:sz="0" w:space="0" w:color="auto"/>
        <w:left w:val="none" w:sz="0" w:space="0" w:color="auto"/>
        <w:bottom w:val="none" w:sz="0" w:space="0" w:color="auto"/>
        <w:right w:val="none" w:sz="0" w:space="0" w:color="auto"/>
      </w:divBdr>
    </w:div>
    <w:div w:id="1267074959">
      <w:bodyDiv w:val="1"/>
      <w:marLeft w:val="0"/>
      <w:marRight w:val="0"/>
      <w:marTop w:val="0"/>
      <w:marBottom w:val="0"/>
      <w:divBdr>
        <w:top w:val="none" w:sz="0" w:space="0" w:color="auto"/>
        <w:left w:val="none" w:sz="0" w:space="0" w:color="auto"/>
        <w:bottom w:val="none" w:sz="0" w:space="0" w:color="auto"/>
        <w:right w:val="none" w:sz="0" w:space="0" w:color="auto"/>
      </w:divBdr>
    </w:div>
    <w:div w:id="1738280272">
      <w:bodyDiv w:val="1"/>
      <w:marLeft w:val="0"/>
      <w:marRight w:val="0"/>
      <w:marTop w:val="0"/>
      <w:marBottom w:val="0"/>
      <w:divBdr>
        <w:top w:val="none" w:sz="0" w:space="0" w:color="auto"/>
        <w:left w:val="none" w:sz="0" w:space="0" w:color="auto"/>
        <w:bottom w:val="none" w:sz="0" w:space="0" w:color="auto"/>
        <w:right w:val="none" w:sz="0" w:space="0" w:color="auto"/>
      </w:divBdr>
    </w:div>
    <w:div w:id="2021157002">
      <w:bodyDiv w:val="1"/>
      <w:marLeft w:val="0"/>
      <w:marRight w:val="0"/>
      <w:marTop w:val="0"/>
      <w:marBottom w:val="0"/>
      <w:divBdr>
        <w:top w:val="none" w:sz="0" w:space="0" w:color="auto"/>
        <w:left w:val="none" w:sz="0" w:space="0" w:color="auto"/>
        <w:bottom w:val="none" w:sz="0" w:space="0" w:color="auto"/>
        <w:right w:val="none" w:sz="0" w:space="0" w:color="auto"/>
      </w:divBdr>
    </w:div>
    <w:div w:id="2041733728">
      <w:bodyDiv w:val="1"/>
      <w:marLeft w:val="0"/>
      <w:marRight w:val="0"/>
      <w:marTop w:val="0"/>
      <w:marBottom w:val="0"/>
      <w:divBdr>
        <w:top w:val="none" w:sz="0" w:space="0" w:color="auto"/>
        <w:left w:val="none" w:sz="0" w:space="0" w:color="auto"/>
        <w:bottom w:val="none" w:sz="0" w:space="0" w:color="auto"/>
        <w:right w:val="none" w:sz="0" w:space="0" w:color="auto"/>
      </w:divBdr>
    </w:div>
    <w:div w:id="206563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newsweek.com/year-pollution-here-are-nastiest-cases-toxic-discharge-2015-410766" TargetMode="External"/><Relationship Id="rId13" Type="http://schemas.openxmlformats.org/officeDocument/2006/relationships/hyperlink" Target="https://www.colorado.gov/pacific/sites/default/files/Drinking-Water-FAQ-09-02-15.pdf" TargetMode="External"/><Relationship Id="rId18" Type="http://schemas.openxmlformats.org/officeDocument/2006/relationships/hyperlink" Target="https://durangoherald.com/articles/2034-future-of-animas-river-stakeholders-group-uncertain" TargetMode="External"/><Relationship Id="rId3" Type="http://schemas.openxmlformats.org/officeDocument/2006/relationships/hyperlink" Target="https://www.the-journal.com/articles/23931" TargetMode="External"/><Relationship Id="rId21" Type="http://schemas.openxmlformats.org/officeDocument/2006/relationships/hyperlink" Target="http://mining.state.co.us/Programs/Abandoned/Documents/LegacyMineWork.pdf" TargetMode="External"/><Relationship Id="rId7" Type="http://schemas.openxmlformats.org/officeDocument/2006/relationships/hyperlink" Target="https://semspub.epa.gov/work/08/1570791.pdf" TargetMode="External"/><Relationship Id="rId12" Type="http://schemas.openxmlformats.org/officeDocument/2006/relationships/hyperlink" Target="https://www.epa.gov/goldkingmine/biological-response-report" TargetMode="External"/><Relationship Id="rId17" Type="http://schemas.openxmlformats.org/officeDocument/2006/relationships/hyperlink" Target="https://www.abqjournal.com/628976/gold-king-mine-spill-a-disaster-waiting-to-happen.html" TargetMode="External"/><Relationship Id="rId2" Type="http://schemas.openxmlformats.org/officeDocument/2006/relationships/hyperlink" Target="http://coloradofishing.net/goldmedal.htm" TargetMode="External"/><Relationship Id="rId16" Type="http://schemas.openxmlformats.org/officeDocument/2006/relationships/hyperlink" Target="http://animasriverstakeholdersgroup.org/blog/index.php/goals-objectives/" TargetMode="External"/><Relationship Id="rId20" Type="http://schemas.openxmlformats.org/officeDocument/2006/relationships/hyperlink" Target="http://mountaintownnews.net/2018/08/04/coal-gives-way-to-diesel-on-narrow-gauge-railroad/" TargetMode="External"/><Relationship Id="rId1" Type="http://schemas.openxmlformats.org/officeDocument/2006/relationships/hyperlink" Target="https://www.eenews.net/stories/1060024348" TargetMode="External"/><Relationship Id="rId6" Type="http://schemas.openxmlformats.org/officeDocument/2006/relationships/hyperlink" Target="https://semspub.epa.gov/work/08/1570791.pdf" TargetMode="External"/><Relationship Id="rId11" Type="http://schemas.openxmlformats.org/officeDocument/2006/relationships/hyperlink" Target="http://www.mountainstudies.org/goldkingspill" TargetMode="External"/><Relationship Id="rId5" Type="http://schemas.openxmlformats.org/officeDocument/2006/relationships/hyperlink" Target="https://www.epa.gov/superfund/superfund-cleanup-process" TargetMode="External"/><Relationship Id="rId15" Type="http://schemas.openxmlformats.org/officeDocument/2006/relationships/hyperlink" Target="https://www.earthmagazine.org/article/bringing-geoscience-bear-problem-abandoned-mines" TargetMode="External"/><Relationship Id="rId23" Type="http://schemas.openxmlformats.org/officeDocument/2006/relationships/hyperlink" Target="https://durangoherald.com/articles/248846" TargetMode="External"/><Relationship Id="rId10" Type="http://schemas.openxmlformats.org/officeDocument/2006/relationships/hyperlink" Target="https://static1.squarespace.com/static/53bc5871e4b095b6a42949b4/t/5a0caf2ef9619a2a369292d4/1510780794119/EPA_BMI_Report_20170309.pdf" TargetMode="External"/><Relationship Id="rId19" Type="http://schemas.openxmlformats.org/officeDocument/2006/relationships/hyperlink" Target="https://semspub.epa.gov/work/08/100004546.pdf" TargetMode="External"/><Relationship Id="rId4" Type="http://schemas.openxmlformats.org/officeDocument/2006/relationships/hyperlink" Target="https://durangoherald.com/articles/265020-50-million-gallons-of-polluted-water-pours-daily-from-us-mine-sites" TargetMode="External"/><Relationship Id="rId9" Type="http://schemas.openxmlformats.org/officeDocument/2006/relationships/hyperlink" Target="http://www.westword.com/news/animas-river-disaster-problems-at-mine-site-date-back-decades-7021433" TargetMode="External"/><Relationship Id="rId14" Type="http://schemas.openxmlformats.org/officeDocument/2006/relationships/hyperlink" Target="https://www.epa.gov/goldkingmine/frequent-questions-related-gold-king-mine-response" TargetMode="External"/><Relationship Id="rId22" Type="http://schemas.openxmlformats.org/officeDocument/2006/relationships/hyperlink" Target="https://durangoherald.com/articles/2413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8785</Words>
  <Characters>50077</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Bradley</dc:creator>
  <cp:keywords/>
  <dc:description/>
  <cp:lastModifiedBy>Clark, Bradley</cp:lastModifiedBy>
  <cp:revision>2</cp:revision>
  <cp:lastPrinted>2019-04-08T19:34:00Z</cp:lastPrinted>
  <dcterms:created xsi:type="dcterms:W3CDTF">2019-04-09T23:05:00Z</dcterms:created>
  <dcterms:modified xsi:type="dcterms:W3CDTF">2019-04-09T23:05:00Z</dcterms:modified>
</cp:coreProperties>
</file>