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0A788" w14:textId="3059446B" w:rsidR="00CF185E" w:rsidRDefault="00CF185E" w:rsidP="00CF185E">
      <w:pPr>
        <w:jc w:val="center"/>
        <w:rPr>
          <w:sz w:val="36"/>
          <w:szCs w:val="36"/>
        </w:rPr>
      </w:pPr>
      <w:r w:rsidRPr="00CF185E">
        <w:rPr>
          <w:sz w:val="36"/>
          <w:szCs w:val="36"/>
        </w:rPr>
        <w:t>Latent Nationalism, Political Opportunity and the Rise of Europe’s Far Right</w:t>
      </w:r>
    </w:p>
    <w:p w14:paraId="6BA289BF" w14:textId="558B4C29" w:rsidR="00CF185E" w:rsidRDefault="00CF185E" w:rsidP="00CF185E">
      <w:pPr>
        <w:jc w:val="center"/>
        <w:rPr>
          <w:sz w:val="36"/>
          <w:szCs w:val="36"/>
        </w:rPr>
      </w:pPr>
    </w:p>
    <w:p w14:paraId="3FF20A09" w14:textId="72607DF8" w:rsidR="00CF185E" w:rsidRPr="00FE5C5A" w:rsidRDefault="00CF185E" w:rsidP="00CF185E">
      <w:pPr>
        <w:jc w:val="center"/>
        <w:rPr>
          <w:b/>
          <w:bCs/>
          <w:i/>
          <w:iCs/>
          <w:sz w:val="24"/>
          <w:szCs w:val="24"/>
        </w:rPr>
      </w:pPr>
      <w:r w:rsidRPr="00FE5C5A">
        <w:rPr>
          <w:b/>
          <w:bCs/>
          <w:i/>
          <w:iCs/>
          <w:sz w:val="24"/>
          <w:szCs w:val="24"/>
        </w:rPr>
        <w:t>Abstract</w:t>
      </w:r>
    </w:p>
    <w:p w14:paraId="3333CBCC" w14:textId="6DD7786C" w:rsidR="00CF185E" w:rsidRPr="00CF185E" w:rsidRDefault="00CF185E" w:rsidP="00CF185E">
      <w:pPr>
        <w:jc w:val="center"/>
        <w:rPr>
          <w:sz w:val="24"/>
          <w:szCs w:val="24"/>
        </w:rPr>
      </w:pPr>
      <w:r w:rsidRPr="00CF185E">
        <w:rPr>
          <w:sz w:val="24"/>
          <w:szCs w:val="24"/>
        </w:rPr>
        <w:t xml:space="preserve">Far-right nationalist parties have enjoyed increasing success across Europe. Both supply-side and demand-side explanations have been advanced to understand this rise. To date, less focus has been placed on who shows up to vote. In this paper, we investigate whether changes in the ideological position of those who abstain is part of the explanatory story of the rise of European far-right parties. Using survey data, we look at abstention rates for individuals that fall into </w:t>
      </w:r>
      <w:r w:rsidR="00FE5C5A">
        <w:rPr>
          <w:sz w:val="24"/>
          <w:szCs w:val="24"/>
        </w:rPr>
        <w:t>two</w:t>
      </w:r>
      <w:r w:rsidRPr="00CF185E">
        <w:rPr>
          <w:sz w:val="24"/>
          <w:szCs w:val="24"/>
        </w:rPr>
        <w:t xml:space="preserve"> ideological categories, </w:t>
      </w:r>
      <w:r w:rsidR="00FE5C5A">
        <w:rPr>
          <w:sz w:val="24"/>
          <w:szCs w:val="24"/>
        </w:rPr>
        <w:t>those associated with nationalist and social democratic party ideologies</w:t>
      </w:r>
      <w:r w:rsidRPr="00CF185E">
        <w:rPr>
          <w:sz w:val="24"/>
          <w:szCs w:val="24"/>
        </w:rPr>
        <w:t>. We argue that, rather than observing a large increase in the number of nationalist voters, we are observing an increase in the probability that those with nationalist ideologies turn up on election day, while those holding other ideological positions</w:t>
      </w:r>
      <w:r w:rsidR="00ED1C1F">
        <w:rPr>
          <w:sz w:val="24"/>
          <w:szCs w:val="24"/>
        </w:rPr>
        <w:t>, particularly those with social democratic ideologies,</w:t>
      </w:r>
      <w:r w:rsidRPr="00CF185E">
        <w:rPr>
          <w:sz w:val="24"/>
          <w:szCs w:val="24"/>
        </w:rPr>
        <w:t xml:space="preserve"> are correspondingly less likely to vote. This has implications, not only for our understanding of far-right nationalist parties, but also the long-term changes in European party systems political scientists have noted.</w:t>
      </w:r>
    </w:p>
    <w:p w14:paraId="5BF5B0C3" w14:textId="77777777" w:rsidR="00CF185E" w:rsidRDefault="00CF185E" w:rsidP="00CF185E">
      <w:pPr>
        <w:jc w:val="center"/>
        <w:rPr>
          <w:sz w:val="36"/>
          <w:szCs w:val="36"/>
        </w:rPr>
      </w:pPr>
    </w:p>
    <w:p w14:paraId="4DF94E81" w14:textId="70459ACE" w:rsidR="00CF185E" w:rsidRDefault="00CF185E" w:rsidP="00CF185E">
      <w:pPr>
        <w:jc w:val="center"/>
        <w:rPr>
          <w:sz w:val="36"/>
          <w:szCs w:val="36"/>
        </w:rPr>
      </w:pPr>
    </w:p>
    <w:p w14:paraId="3950CFEA" w14:textId="0F1D71D2" w:rsidR="00CF185E" w:rsidRDefault="00CF185E" w:rsidP="00FE5C5A">
      <w:pPr>
        <w:spacing w:after="0" w:line="240" w:lineRule="auto"/>
        <w:jc w:val="center"/>
        <w:rPr>
          <w:sz w:val="28"/>
          <w:szCs w:val="28"/>
        </w:rPr>
      </w:pPr>
      <w:r>
        <w:rPr>
          <w:sz w:val="28"/>
          <w:szCs w:val="28"/>
        </w:rPr>
        <w:t>Geoff Allen</w:t>
      </w:r>
    </w:p>
    <w:p w14:paraId="77A44234" w14:textId="0C365A85" w:rsidR="00CF185E" w:rsidRDefault="00CF185E" w:rsidP="00FE5C5A">
      <w:pPr>
        <w:spacing w:after="0" w:line="240" w:lineRule="auto"/>
        <w:jc w:val="center"/>
        <w:rPr>
          <w:sz w:val="24"/>
          <w:szCs w:val="24"/>
        </w:rPr>
      </w:pPr>
      <w:r>
        <w:rPr>
          <w:sz w:val="24"/>
          <w:szCs w:val="24"/>
        </w:rPr>
        <w:t>University of Utah</w:t>
      </w:r>
    </w:p>
    <w:p w14:paraId="1C3B5BE3" w14:textId="77777777" w:rsidR="00FE5C5A" w:rsidRDefault="00FE5C5A" w:rsidP="00FE5C5A">
      <w:pPr>
        <w:spacing w:after="0" w:line="240" w:lineRule="auto"/>
        <w:jc w:val="center"/>
        <w:rPr>
          <w:sz w:val="24"/>
          <w:szCs w:val="24"/>
        </w:rPr>
      </w:pPr>
    </w:p>
    <w:p w14:paraId="607355EE" w14:textId="78E30173" w:rsidR="00CF185E" w:rsidRDefault="00CF185E" w:rsidP="00FE5C5A">
      <w:pPr>
        <w:spacing w:after="0" w:line="240" w:lineRule="auto"/>
        <w:jc w:val="center"/>
        <w:rPr>
          <w:sz w:val="28"/>
          <w:szCs w:val="28"/>
        </w:rPr>
      </w:pPr>
      <w:r>
        <w:rPr>
          <w:sz w:val="28"/>
          <w:szCs w:val="28"/>
        </w:rPr>
        <w:t>Tzu-Ping Liu</w:t>
      </w:r>
    </w:p>
    <w:p w14:paraId="4EA0D8BD" w14:textId="0BA7B4E9" w:rsidR="00FE5C5A" w:rsidRDefault="00FE5C5A" w:rsidP="00FE5C5A">
      <w:pPr>
        <w:spacing w:after="0" w:line="240" w:lineRule="auto"/>
        <w:jc w:val="center"/>
        <w:rPr>
          <w:sz w:val="24"/>
          <w:szCs w:val="24"/>
        </w:rPr>
      </w:pPr>
      <w:r>
        <w:rPr>
          <w:sz w:val="24"/>
          <w:szCs w:val="24"/>
        </w:rPr>
        <w:t>University of Taipei</w:t>
      </w:r>
    </w:p>
    <w:p w14:paraId="36C37C5A" w14:textId="04866071" w:rsidR="00FE5C5A" w:rsidRDefault="00FE5C5A" w:rsidP="00CF185E">
      <w:pPr>
        <w:jc w:val="center"/>
        <w:rPr>
          <w:sz w:val="24"/>
          <w:szCs w:val="24"/>
        </w:rPr>
      </w:pPr>
    </w:p>
    <w:p w14:paraId="322E7710" w14:textId="3B9A7A81" w:rsidR="00FE5C5A" w:rsidRDefault="00FE5C5A" w:rsidP="00CF185E">
      <w:pPr>
        <w:jc w:val="center"/>
        <w:rPr>
          <w:sz w:val="24"/>
          <w:szCs w:val="24"/>
        </w:rPr>
      </w:pPr>
    </w:p>
    <w:p w14:paraId="305A6A9A" w14:textId="17B85137" w:rsidR="00FE5C5A" w:rsidRDefault="00FE5C5A" w:rsidP="00CF185E">
      <w:pPr>
        <w:jc w:val="center"/>
        <w:rPr>
          <w:sz w:val="24"/>
          <w:szCs w:val="24"/>
        </w:rPr>
      </w:pPr>
    </w:p>
    <w:p w14:paraId="15107876" w14:textId="33E9F34D" w:rsidR="00FE5C5A" w:rsidRDefault="00FE5C5A" w:rsidP="00CF185E">
      <w:pPr>
        <w:jc w:val="center"/>
        <w:rPr>
          <w:sz w:val="24"/>
          <w:szCs w:val="24"/>
        </w:rPr>
      </w:pPr>
    </w:p>
    <w:p w14:paraId="31279FCC" w14:textId="582A323E" w:rsidR="00FE5C5A" w:rsidRDefault="00FE5C5A" w:rsidP="00CF185E">
      <w:pPr>
        <w:jc w:val="center"/>
        <w:rPr>
          <w:sz w:val="24"/>
          <w:szCs w:val="24"/>
        </w:rPr>
      </w:pPr>
    </w:p>
    <w:p w14:paraId="65D66C42" w14:textId="6E0403DA" w:rsidR="00FE5C5A" w:rsidRDefault="00FE5C5A" w:rsidP="00CF185E">
      <w:pPr>
        <w:jc w:val="center"/>
        <w:rPr>
          <w:sz w:val="24"/>
          <w:szCs w:val="24"/>
        </w:rPr>
      </w:pPr>
    </w:p>
    <w:p w14:paraId="6514BCF4" w14:textId="7EA658EB" w:rsidR="00FE5C5A" w:rsidRDefault="00FE5C5A" w:rsidP="00FE5C5A">
      <w:pPr>
        <w:rPr>
          <w:i/>
          <w:iCs/>
          <w:sz w:val="24"/>
          <w:szCs w:val="24"/>
        </w:rPr>
      </w:pPr>
      <w:r>
        <w:rPr>
          <w:i/>
          <w:iCs/>
          <w:sz w:val="24"/>
          <w:szCs w:val="24"/>
        </w:rPr>
        <w:t xml:space="preserve">This paper was prepared for presentation at the 2021 Western Political Science Association Annual Meeting. </w:t>
      </w:r>
      <w:r w:rsidR="008870E5">
        <w:rPr>
          <w:i/>
          <w:iCs/>
          <w:sz w:val="24"/>
          <w:szCs w:val="24"/>
        </w:rPr>
        <w:t xml:space="preserve">This project is a work in progress. </w:t>
      </w:r>
      <w:r>
        <w:rPr>
          <w:i/>
          <w:iCs/>
          <w:sz w:val="24"/>
          <w:szCs w:val="24"/>
        </w:rPr>
        <w:t>Please do not cite or circulate without the permission of the authors.</w:t>
      </w:r>
    </w:p>
    <w:p w14:paraId="5AEB37C0" w14:textId="7038BF03" w:rsidR="00FE5C5A" w:rsidRDefault="00FE5C5A" w:rsidP="00FE5C5A">
      <w:pPr>
        <w:rPr>
          <w:b/>
          <w:bCs/>
          <w:sz w:val="24"/>
          <w:szCs w:val="24"/>
        </w:rPr>
      </w:pPr>
      <w:r w:rsidRPr="00FE5C5A">
        <w:rPr>
          <w:b/>
          <w:bCs/>
          <w:sz w:val="24"/>
          <w:szCs w:val="24"/>
        </w:rPr>
        <w:lastRenderedPageBreak/>
        <w:t>1.</w:t>
      </w:r>
      <w:r>
        <w:rPr>
          <w:b/>
          <w:bCs/>
          <w:sz w:val="24"/>
          <w:szCs w:val="24"/>
        </w:rPr>
        <w:t xml:space="preserve"> </w:t>
      </w:r>
      <w:r w:rsidRPr="00FE5C5A">
        <w:rPr>
          <w:b/>
          <w:bCs/>
          <w:sz w:val="24"/>
          <w:szCs w:val="24"/>
        </w:rPr>
        <w:t>Introduction</w:t>
      </w:r>
    </w:p>
    <w:p w14:paraId="4C04D638" w14:textId="03512329" w:rsidR="00FE5C5A" w:rsidRDefault="00ED1C1F" w:rsidP="00FE5C5A">
      <w:pPr>
        <w:rPr>
          <w:sz w:val="24"/>
          <w:szCs w:val="24"/>
        </w:rPr>
      </w:pPr>
      <w:r>
        <w:rPr>
          <w:sz w:val="24"/>
          <w:szCs w:val="24"/>
        </w:rPr>
        <w:t>The rise of far-right populist parties in Europe has received substantial attention from both scholars and the popular press. In the pages of the New York Times, op-eds from the Editorial Board frequently bring attention to the rise of nationalism in Europe (‘The European Union Must Stand Up to Polish National</w:t>
      </w:r>
      <w:r w:rsidR="004628FF">
        <w:rPr>
          <w:sz w:val="24"/>
          <w:szCs w:val="24"/>
        </w:rPr>
        <w:t>i</w:t>
      </w:r>
      <w:r>
        <w:rPr>
          <w:sz w:val="24"/>
          <w:szCs w:val="24"/>
        </w:rPr>
        <w:t>sm’, 2018;</w:t>
      </w:r>
      <w:r w:rsidR="004628FF">
        <w:rPr>
          <w:sz w:val="24"/>
          <w:szCs w:val="24"/>
        </w:rPr>
        <w:t xml:space="preserve"> ‘Macron, at the Barricades, Warns of Rising Nationalism in Europe,’ 2018; ‘Nationalism and the Brexit Vote,’ 2016). In Spring 2019, </w:t>
      </w:r>
      <w:r w:rsidR="004628FF" w:rsidRPr="00ED1C1F">
        <w:rPr>
          <w:i/>
          <w:iCs/>
          <w:sz w:val="24"/>
          <w:szCs w:val="24"/>
        </w:rPr>
        <w:t>Foreign Affairs</w:t>
      </w:r>
      <w:r w:rsidR="004628FF">
        <w:rPr>
          <w:sz w:val="24"/>
          <w:szCs w:val="24"/>
        </w:rPr>
        <w:t xml:space="preserve"> ran a special issue on the topic of The New Nationalism, with articles from numerous experts focused on understanding the rise of this new wave of nationalism.</w:t>
      </w:r>
    </w:p>
    <w:p w14:paraId="3DC5A2F7" w14:textId="6209A549" w:rsidR="004628FF" w:rsidRDefault="004628FF" w:rsidP="00FE5C5A">
      <w:pPr>
        <w:rPr>
          <w:sz w:val="24"/>
          <w:szCs w:val="24"/>
        </w:rPr>
      </w:pPr>
    </w:p>
    <w:p w14:paraId="2716CD45" w14:textId="5DFE7D19" w:rsidR="004628FF" w:rsidRDefault="00C65AAF" w:rsidP="00FE5C5A">
      <w:pPr>
        <w:rPr>
          <w:sz w:val="24"/>
          <w:szCs w:val="24"/>
        </w:rPr>
      </w:pPr>
      <w:r>
        <w:rPr>
          <w:sz w:val="24"/>
          <w:szCs w:val="24"/>
        </w:rPr>
        <w:t xml:space="preserve">The populist radical right, meanwhile, has become </w:t>
      </w:r>
      <w:r w:rsidR="00AB7A75">
        <w:rPr>
          <w:sz w:val="24"/>
          <w:szCs w:val="24"/>
        </w:rPr>
        <w:t>a major new topic of academic research. R</w:t>
      </w:r>
      <w:r w:rsidR="004628FF">
        <w:rPr>
          <w:sz w:val="24"/>
          <w:szCs w:val="24"/>
        </w:rPr>
        <w:t>esearch</w:t>
      </w:r>
      <w:r w:rsidR="00AB7A75">
        <w:rPr>
          <w:sz w:val="24"/>
          <w:szCs w:val="24"/>
        </w:rPr>
        <w:t>ers</w:t>
      </w:r>
      <w:r w:rsidR="004628FF">
        <w:rPr>
          <w:sz w:val="24"/>
          <w:szCs w:val="24"/>
        </w:rPr>
        <w:t xml:space="preserve"> ha</w:t>
      </w:r>
      <w:r w:rsidR="00AB7A75">
        <w:rPr>
          <w:sz w:val="24"/>
          <w:szCs w:val="24"/>
        </w:rPr>
        <w:t>ve</w:t>
      </w:r>
      <w:r w:rsidR="004628FF">
        <w:rPr>
          <w:sz w:val="24"/>
          <w:szCs w:val="24"/>
        </w:rPr>
        <w:t xml:space="preserve"> </w:t>
      </w:r>
      <w:r w:rsidR="00B808C8">
        <w:rPr>
          <w:sz w:val="24"/>
          <w:szCs w:val="24"/>
        </w:rPr>
        <w:t>yet to settle on a conclusion as to what explains the rise of nationalist politics</w:t>
      </w:r>
      <w:r w:rsidR="00993D9D">
        <w:rPr>
          <w:sz w:val="24"/>
          <w:szCs w:val="24"/>
        </w:rPr>
        <w:t xml:space="preserve"> in Europe in the last two decades</w:t>
      </w:r>
      <w:r w:rsidR="00B808C8">
        <w:rPr>
          <w:sz w:val="24"/>
          <w:szCs w:val="24"/>
        </w:rPr>
        <w:t xml:space="preserve">. </w:t>
      </w:r>
      <w:r w:rsidR="00F54FBC">
        <w:rPr>
          <w:sz w:val="24"/>
          <w:szCs w:val="24"/>
        </w:rPr>
        <w:t xml:space="preserve">Demand side explanations have pointed to the rise of anti-immigrant sentiment, the rise of economic nationalist attitudes, and other attitudinal or sentiment explanations </w:t>
      </w:r>
      <w:r w:rsidR="008F268C">
        <w:rPr>
          <w:sz w:val="24"/>
          <w:szCs w:val="24"/>
        </w:rPr>
        <w:t xml:space="preserve">for increased demand for nationalist parties (Semyonov, Raijman and Gorodzeisky 2006). In contrast, supply-side explanations </w:t>
      </w:r>
      <w:r w:rsidR="000E0240">
        <w:rPr>
          <w:sz w:val="24"/>
          <w:szCs w:val="24"/>
        </w:rPr>
        <w:t>tend to focus on the behavior of political leaders and the supply of nation</w:t>
      </w:r>
      <w:r w:rsidR="003243F3">
        <w:rPr>
          <w:sz w:val="24"/>
          <w:szCs w:val="24"/>
        </w:rPr>
        <w:t>a</w:t>
      </w:r>
      <w:r w:rsidR="000E0240">
        <w:rPr>
          <w:sz w:val="24"/>
          <w:szCs w:val="24"/>
        </w:rPr>
        <w:t xml:space="preserve">list parties and movements, rather than </w:t>
      </w:r>
      <w:r w:rsidR="003243F3">
        <w:rPr>
          <w:sz w:val="24"/>
          <w:szCs w:val="24"/>
        </w:rPr>
        <w:t>on any increase in nationalist attitudes (</w:t>
      </w:r>
      <w:r w:rsidR="00B808C8">
        <w:rPr>
          <w:sz w:val="24"/>
          <w:szCs w:val="24"/>
        </w:rPr>
        <w:t>Bieber 20</w:t>
      </w:r>
      <w:r w:rsidR="00CD0650">
        <w:rPr>
          <w:sz w:val="24"/>
          <w:szCs w:val="24"/>
        </w:rPr>
        <w:t>18</w:t>
      </w:r>
      <w:r w:rsidR="003243F3">
        <w:rPr>
          <w:sz w:val="24"/>
          <w:szCs w:val="24"/>
        </w:rPr>
        <w:t>).</w:t>
      </w:r>
      <w:r w:rsidR="00CD0650">
        <w:rPr>
          <w:sz w:val="24"/>
          <w:szCs w:val="24"/>
        </w:rPr>
        <w:t xml:space="preserve"> </w:t>
      </w:r>
      <w:r w:rsidR="009A09C1">
        <w:rPr>
          <w:sz w:val="24"/>
          <w:szCs w:val="24"/>
        </w:rPr>
        <w:t xml:space="preserve">These demand and supply side explanations are increasingly thought of as </w:t>
      </w:r>
      <w:r w:rsidR="004A4BE6">
        <w:rPr>
          <w:sz w:val="24"/>
          <w:szCs w:val="24"/>
        </w:rPr>
        <w:t>complementary rather than competitive explanations (Golder 2016).</w:t>
      </w:r>
    </w:p>
    <w:p w14:paraId="478C04BD" w14:textId="619E95B5" w:rsidR="00CF3211" w:rsidRDefault="00CF3211" w:rsidP="00FE5C5A">
      <w:pPr>
        <w:rPr>
          <w:sz w:val="24"/>
          <w:szCs w:val="24"/>
        </w:rPr>
      </w:pPr>
    </w:p>
    <w:p w14:paraId="3B36B840" w14:textId="6C3590BC" w:rsidR="00174AF8" w:rsidRDefault="004A4BE6" w:rsidP="00FE5C5A">
      <w:pPr>
        <w:rPr>
          <w:sz w:val="24"/>
          <w:szCs w:val="24"/>
        </w:rPr>
      </w:pPr>
      <w:r>
        <w:rPr>
          <w:sz w:val="24"/>
          <w:szCs w:val="24"/>
        </w:rPr>
        <w:t>While d</w:t>
      </w:r>
      <w:r w:rsidR="00CF3211">
        <w:rPr>
          <w:sz w:val="24"/>
          <w:szCs w:val="24"/>
        </w:rPr>
        <w:t xml:space="preserve">emand side and supply side explanations have tended to dominate the </w:t>
      </w:r>
      <w:r w:rsidR="003243F3">
        <w:rPr>
          <w:sz w:val="24"/>
          <w:szCs w:val="24"/>
        </w:rPr>
        <w:t>academic discourse,</w:t>
      </w:r>
      <w:r w:rsidR="00CF3211">
        <w:rPr>
          <w:sz w:val="24"/>
          <w:szCs w:val="24"/>
        </w:rPr>
        <w:t xml:space="preserve"> </w:t>
      </w:r>
      <w:r>
        <w:rPr>
          <w:sz w:val="24"/>
          <w:szCs w:val="24"/>
        </w:rPr>
        <w:t>m</w:t>
      </w:r>
      <w:r w:rsidR="007A492E">
        <w:rPr>
          <w:sz w:val="24"/>
          <w:szCs w:val="24"/>
        </w:rPr>
        <w:t xml:space="preserve">obilization and turnout has received comparatively little attention. </w:t>
      </w:r>
      <w:r w:rsidR="00D61F68">
        <w:rPr>
          <w:sz w:val="24"/>
          <w:szCs w:val="24"/>
        </w:rPr>
        <w:t xml:space="preserve">We believe that at least part of the story of </w:t>
      </w:r>
      <w:r w:rsidR="002A6533">
        <w:rPr>
          <w:sz w:val="24"/>
          <w:szCs w:val="24"/>
        </w:rPr>
        <w:t xml:space="preserve">nationalism’s reemergence in European politics can be attributed to increased rates of participation among </w:t>
      </w:r>
      <w:r w:rsidR="00487422">
        <w:rPr>
          <w:sz w:val="24"/>
          <w:szCs w:val="24"/>
        </w:rPr>
        <w:t>those holding nationalist attitudes. A corresponding story is the increased disillusion among social democratic voters</w:t>
      </w:r>
      <w:r w:rsidR="00174AF8">
        <w:rPr>
          <w:sz w:val="24"/>
          <w:szCs w:val="24"/>
        </w:rPr>
        <w:t>, which has been noted in several studies over the years (</w:t>
      </w:r>
      <w:r w:rsidR="00D24189">
        <w:rPr>
          <w:sz w:val="24"/>
          <w:szCs w:val="24"/>
        </w:rPr>
        <w:t>Benedetto, Hix and Ma</w:t>
      </w:r>
      <w:r w:rsidR="00135E4D">
        <w:rPr>
          <w:sz w:val="24"/>
          <w:szCs w:val="24"/>
        </w:rPr>
        <w:t>strorocco 2020).</w:t>
      </w:r>
      <w:r w:rsidR="00513744">
        <w:rPr>
          <w:sz w:val="24"/>
          <w:szCs w:val="24"/>
        </w:rPr>
        <w:t xml:space="preserve"> Combined, these two </w:t>
      </w:r>
      <w:r w:rsidR="006B0A2E">
        <w:rPr>
          <w:sz w:val="24"/>
          <w:szCs w:val="24"/>
        </w:rPr>
        <w:t>phenomena could translate into a substantial increase in the political relevance in nationalism in politics, even as overall nationalist sentiment among the population may be relatively stable.</w:t>
      </w:r>
    </w:p>
    <w:p w14:paraId="3775032C" w14:textId="1F07903E" w:rsidR="004F5C63" w:rsidRDefault="004F5C63" w:rsidP="00FE5C5A">
      <w:pPr>
        <w:rPr>
          <w:sz w:val="24"/>
          <w:szCs w:val="24"/>
        </w:rPr>
      </w:pPr>
    </w:p>
    <w:p w14:paraId="3B60FE4D" w14:textId="09AA31D2" w:rsidR="00A409BB" w:rsidRDefault="007D7216" w:rsidP="00FE5C5A">
      <w:pPr>
        <w:rPr>
          <w:sz w:val="24"/>
          <w:szCs w:val="24"/>
        </w:rPr>
      </w:pPr>
      <w:r>
        <w:rPr>
          <w:sz w:val="24"/>
          <w:szCs w:val="24"/>
        </w:rPr>
        <w:t>Using evidence from the European Social Survey, in this study we will set out to establish that at least part of the story of the rise</w:t>
      </w:r>
      <w:r w:rsidR="00BF45B7">
        <w:rPr>
          <w:sz w:val="24"/>
          <w:szCs w:val="24"/>
        </w:rPr>
        <w:t xml:space="preserve"> of nationalist parties in Europe is a story of mobilization and turnout.</w:t>
      </w:r>
      <w:r w:rsidR="00924981">
        <w:rPr>
          <w:sz w:val="24"/>
          <w:szCs w:val="24"/>
        </w:rPr>
        <w:t xml:space="preserve"> </w:t>
      </w:r>
      <w:r w:rsidR="001872FE">
        <w:rPr>
          <w:sz w:val="24"/>
          <w:szCs w:val="24"/>
        </w:rPr>
        <w:t xml:space="preserve">Comparing the first, fifth, and ninth waves of the </w:t>
      </w:r>
      <w:r w:rsidR="00B116E0">
        <w:rPr>
          <w:sz w:val="24"/>
          <w:szCs w:val="24"/>
        </w:rPr>
        <w:t>European Social Survey</w:t>
      </w:r>
      <w:r w:rsidR="001872FE">
        <w:rPr>
          <w:sz w:val="24"/>
          <w:szCs w:val="24"/>
        </w:rPr>
        <w:t xml:space="preserve">, we will show </w:t>
      </w:r>
      <w:r w:rsidR="00B116E0">
        <w:rPr>
          <w:sz w:val="24"/>
          <w:szCs w:val="24"/>
        </w:rPr>
        <w:t>that there has been a modest change in the propensity to vote among those with nationalist attitudes, and argue that this change in probability of voting explains, in part, the increasing electoral success of radical right nationalist parties.</w:t>
      </w:r>
    </w:p>
    <w:p w14:paraId="3D8E7260" w14:textId="1CC6A704" w:rsidR="00A65B43" w:rsidRDefault="00A65B43" w:rsidP="00FE5C5A">
      <w:pPr>
        <w:rPr>
          <w:sz w:val="24"/>
          <w:szCs w:val="24"/>
        </w:rPr>
      </w:pPr>
    </w:p>
    <w:p w14:paraId="0C020BA3" w14:textId="4585351F" w:rsidR="00A65B43" w:rsidRDefault="00A65B43" w:rsidP="00FE5C5A">
      <w:pPr>
        <w:rPr>
          <w:sz w:val="24"/>
          <w:szCs w:val="24"/>
        </w:rPr>
      </w:pPr>
    </w:p>
    <w:p w14:paraId="2253B5FD" w14:textId="052850ED" w:rsidR="00A65B43" w:rsidRPr="00DF43F8" w:rsidRDefault="00A65B43" w:rsidP="00FE5C5A">
      <w:pPr>
        <w:rPr>
          <w:b/>
          <w:bCs/>
          <w:sz w:val="24"/>
          <w:szCs w:val="24"/>
        </w:rPr>
      </w:pPr>
      <w:r w:rsidRPr="00DF43F8">
        <w:rPr>
          <w:b/>
          <w:bCs/>
          <w:sz w:val="24"/>
          <w:szCs w:val="24"/>
        </w:rPr>
        <w:lastRenderedPageBreak/>
        <w:t xml:space="preserve">2. Existing Explanations </w:t>
      </w:r>
      <w:r w:rsidR="00DF43F8" w:rsidRPr="00DF43F8">
        <w:rPr>
          <w:b/>
          <w:bCs/>
          <w:sz w:val="24"/>
          <w:szCs w:val="24"/>
        </w:rPr>
        <w:t>for the Rise of Far-Right Nationalist Parties in Europe</w:t>
      </w:r>
      <w:r w:rsidR="00B85FDB">
        <w:rPr>
          <w:b/>
          <w:bCs/>
          <w:sz w:val="24"/>
          <w:szCs w:val="24"/>
        </w:rPr>
        <w:t xml:space="preserve"> (Incomplete)</w:t>
      </w:r>
    </w:p>
    <w:p w14:paraId="5D32E1AA" w14:textId="720DB02B" w:rsidR="00DF43F8" w:rsidRDefault="00925F5F" w:rsidP="00FE5C5A">
      <w:pPr>
        <w:rPr>
          <w:sz w:val="24"/>
          <w:szCs w:val="24"/>
        </w:rPr>
      </w:pPr>
      <w:r>
        <w:rPr>
          <w:sz w:val="24"/>
          <w:szCs w:val="24"/>
        </w:rPr>
        <w:t xml:space="preserve">Framing paragraph: </w:t>
      </w:r>
      <w:r w:rsidR="00631B5D">
        <w:rPr>
          <w:sz w:val="24"/>
          <w:szCs w:val="24"/>
        </w:rPr>
        <w:t xml:space="preserve">establish that scholars seem to agree that there are two main schools of thought, demand and supply side </w:t>
      </w:r>
      <w:r w:rsidR="00B60B3B">
        <w:rPr>
          <w:sz w:val="24"/>
          <w:szCs w:val="24"/>
        </w:rPr>
        <w:t>theories</w:t>
      </w:r>
      <w:r w:rsidR="00B85FDB">
        <w:rPr>
          <w:sz w:val="24"/>
          <w:szCs w:val="24"/>
        </w:rPr>
        <w:t xml:space="preserve"> (Mudde and Kaltwasser 201</w:t>
      </w:r>
      <w:r w:rsidR="003E2F9C">
        <w:rPr>
          <w:sz w:val="24"/>
          <w:szCs w:val="24"/>
        </w:rPr>
        <w:t>7</w:t>
      </w:r>
      <w:r w:rsidR="00B85FDB">
        <w:rPr>
          <w:sz w:val="24"/>
          <w:szCs w:val="24"/>
        </w:rPr>
        <w:t>, Mudde 2019)</w:t>
      </w:r>
      <w:r w:rsidR="00B60B3B">
        <w:rPr>
          <w:sz w:val="24"/>
          <w:szCs w:val="24"/>
        </w:rPr>
        <w:t>.</w:t>
      </w:r>
    </w:p>
    <w:p w14:paraId="4EDF96C0" w14:textId="55C6989F" w:rsidR="00631B5D" w:rsidRDefault="00631B5D" w:rsidP="00FE5C5A">
      <w:pPr>
        <w:rPr>
          <w:sz w:val="24"/>
          <w:szCs w:val="24"/>
        </w:rPr>
      </w:pPr>
    </w:p>
    <w:p w14:paraId="3ED9FA6E" w14:textId="6DA680FE" w:rsidR="00B60B3B" w:rsidRDefault="00B60B3B" w:rsidP="00FE5C5A">
      <w:pPr>
        <w:rPr>
          <w:sz w:val="24"/>
          <w:szCs w:val="24"/>
        </w:rPr>
      </w:pPr>
      <w:r>
        <w:rPr>
          <w:sz w:val="24"/>
          <w:szCs w:val="24"/>
        </w:rPr>
        <w:t>Start with demand side</w:t>
      </w:r>
      <w:r w:rsidR="006F5D3A">
        <w:rPr>
          <w:sz w:val="24"/>
          <w:szCs w:val="24"/>
        </w:rPr>
        <w:t xml:space="preserve"> explanations</w:t>
      </w:r>
      <w:r w:rsidR="00903EEB">
        <w:rPr>
          <w:sz w:val="24"/>
          <w:szCs w:val="24"/>
        </w:rPr>
        <w:t>. Not a lot of studies point to a particularly notable rise in nationalist attitudes, but quite a few point to rise of welfare chauvinism, anti-foreigner sentiment, and economic nationalism</w:t>
      </w:r>
      <w:r w:rsidR="00B85FDB">
        <w:rPr>
          <w:sz w:val="24"/>
          <w:szCs w:val="24"/>
        </w:rPr>
        <w:t xml:space="preserve"> (Semyonov, Raijman and Gorodzeisky 2006).</w:t>
      </w:r>
    </w:p>
    <w:p w14:paraId="6EC9B673" w14:textId="4B695496" w:rsidR="00903EEB" w:rsidRDefault="00903EEB" w:rsidP="00FE5C5A">
      <w:pPr>
        <w:rPr>
          <w:sz w:val="24"/>
          <w:szCs w:val="24"/>
        </w:rPr>
      </w:pPr>
    </w:p>
    <w:p w14:paraId="22DECD3E" w14:textId="155B6138" w:rsidR="00903EEB" w:rsidRDefault="00903EEB" w:rsidP="00FE5C5A">
      <w:pPr>
        <w:rPr>
          <w:sz w:val="24"/>
          <w:szCs w:val="24"/>
        </w:rPr>
      </w:pPr>
      <w:r>
        <w:rPr>
          <w:sz w:val="24"/>
          <w:szCs w:val="24"/>
        </w:rPr>
        <w:t>Move to supply side explanations. Here you can rely pretty heavily on Bonikowski</w:t>
      </w:r>
      <w:r w:rsidR="00B85FDB">
        <w:rPr>
          <w:sz w:val="24"/>
          <w:szCs w:val="24"/>
        </w:rPr>
        <w:t xml:space="preserve"> (2017)</w:t>
      </w:r>
      <w:r w:rsidR="00012920">
        <w:rPr>
          <w:sz w:val="24"/>
          <w:szCs w:val="24"/>
        </w:rPr>
        <w:t>, Bieber</w:t>
      </w:r>
      <w:r w:rsidR="00B85FDB">
        <w:rPr>
          <w:sz w:val="24"/>
          <w:szCs w:val="24"/>
        </w:rPr>
        <w:t xml:space="preserve"> (2018)</w:t>
      </w:r>
      <w:r w:rsidR="00012920">
        <w:rPr>
          <w:sz w:val="24"/>
          <w:szCs w:val="24"/>
        </w:rPr>
        <w:t xml:space="preserve">, </w:t>
      </w:r>
      <w:r w:rsidR="00916F39">
        <w:rPr>
          <w:sz w:val="24"/>
          <w:szCs w:val="24"/>
        </w:rPr>
        <w:t>Halikiopoulou and Vlandas</w:t>
      </w:r>
      <w:r w:rsidR="00B85FDB">
        <w:rPr>
          <w:sz w:val="24"/>
          <w:szCs w:val="24"/>
        </w:rPr>
        <w:t xml:space="preserve"> (2019)</w:t>
      </w:r>
      <w:r w:rsidR="00916F39">
        <w:rPr>
          <w:sz w:val="24"/>
          <w:szCs w:val="24"/>
        </w:rPr>
        <w:t>.</w:t>
      </w:r>
      <w:r w:rsidR="00B85FDB">
        <w:rPr>
          <w:sz w:val="24"/>
          <w:szCs w:val="24"/>
        </w:rPr>
        <w:t xml:space="preserve"> None find particularly compelling evidence that nationalist attitudes are more prevalent today than in the past, though they may manifest in different ways tody</w:t>
      </w:r>
    </w:p>
    <w:p w14:paraId="418A45AD" w14:textId="709FC5DA" w:rsidR="00916F39" w:rsidRDefault="00916F39" w:rsidP="00FE5C5A">
      <w:pPr>
        <w:rPr>
          <w:sz w:val="24"/>
          <w:szCs w:val="24"/>
        </w:rPr>
      </w:pPr>
    </w:p>
    <w:p w14:paraId="3C762B64" w14:textId="7AFB6634" w:rsidR="00916F39" w:rsidRDefault="00916F39" w:rsidP="00FE5C5A">
      <w:pPr>
        <w:rPr>
          <w:sz w:val="24"/>
          <w:szCs w:val="24"/>
        </w:rPr>
      </w:pPr>
      <w:r>
        <w:rPr>
          <w:sz w:val="24"/>
          <w:szCs w:val="24"/>
        </w:rPr>
        <w:t>You can discuss that</w:t>
      </w:r>
      <w:r w:rsidR="00B85FDB">
        <w:rPr>
          <w:sz w:val="24"/>
          <w:szCs w:val="24"/>
        </w:rPr>
        <w:t xml:space="preserve"> scholars seem to increasingly agree that a full understanding of the rise of populism must consider supply and demand side factors in conjunction (see Golder 2016, Mudde 2019).</w:t>
      </w:r>
    </w:p>
    <w:p w14:paraId="20A6C71E" w14:textId="39318983" w:rsidR="00F83385" w:rsidRDefault="00F83385" w:rsidP="00FE5C5A">
      <w:pPr>
        <w:rPr>
          <w:sz w:val="24"/>
          <w:szCs w:val="24"/>
        </w:rPr>
      </w:pPr>
    </w:p>
    <w:p w14:paraId="3C754899" w14:textId="7A6EDF88" w:rsidR="00F83385" w:rsidRDefault="00F83385" w:rsidP="00FE5C5A">
      <w:pPr>
        <w:rPr>
          <w:sz w:val="24"/>
          <w:szCs w:val="24"/>
        </w:rPr>
      </w:pPr>
    </w:p>
    <w:p w14:paraId="0A826F54" w14:textId="0A3D779E" w:rsidR="00F83385" w:rsidRPr="005657C5" w:rsidRDefault="00F83385" w:rsidP="00FE5C5A">
      <w:pPr>
        <w:rPr>
          <w:b/>
          <w:bCs/>
          <w:sz w:val="24"/>
          <w:szCs w:val="24"/>
        </w:rPr>
      </w:pPr>
      <w:r w:rsidRPr="005657C5">
        <w:rPr>
          <w:b/>
          <w:bCs/>
          <w:sz w:val="24"/>
          <w:szCs w:val="24"/>
        </w:rPr>
        <w:t xml:space="preserve">3. </w:t>
      </w:r>
      <w:r w:rsidR="00BD2199" w:rsidRPr="005657C5">
        <w:rPr>
          <w:b/>
          <w:bCs/>
          <w:sz w:val="24"/>
          <w:szCs w:val="24"/>
        </w:rPr>
        <w:t>The Missing Story of Mobilization and Turnout</w:t>
      </w:r>
    </w:p>
    <w:p w14:paraId="2CDAABC4" w14:textId="08FE1423" w:rsidR="00843DBF" w:rsidRDefault="00843DBF" w:rsidP="00FE5C5A">
      <w:pPr>
        <w:rPr>
          <w:sz w:val="24"/>
          <w:szCs w:val="24"/>
        </w:rPr>
      </w:pPr>
      <w:r>
        <w:rPr>
          <w:sz w:val="24"/>
          <w:szCs w:val="24"/>
        </w:rPr>
        <w:t xml:space="preserve">Despite the increasingly large literature on the emerging electoral success of radical right nationalist parties in Europe, comparatively little of the literature has focused on attempting to understand the role of voter turnout and voter apathy. Part of the reason for this may be the conclusion, reached by several </w:t>
      </w:r>
      <w:r w:rsidR="00B87EDD">
        <w:rPr>
          <w:sz w:val="24"/>
          <w:szCs w:val="24"/>
        </w:rPr>
        <w:t xml:space="preserve">different </w:t>
      </w:r>
      <w:r>
        <w:rPr>
          <w:sz w:val="24"/>
          <w:szCs w:val="24"/>
        </w:rPr>
        <w:t>scholars in a 2007 special issue of Electoral Studies, that differential turnout rarely has a substantial impact on electoral outcomes (see Lutz and Marsh, 2007)</w:t>
      </w:r>
      <w:r w:rsidR="00B87EDD">
        <w:rPr>
          <w:sz w:val="24"/>
          <w:szCs w:val="24"/>
        </w:rPr>
        <w:t>, particularly with the declining importance of class cleavages in shaping vote choice in advanced industrial democracies (Martinez and Gill 2005).</w:t>
      </w:r>
    </w:p>
    <w:p w14:paraId="4DE2007B" w14:textId="2A800020" w:rsidR="00B87EDD" w:rsidRDefault="00B87EDD" w:rsidP="00FE5C5A">
      <w:pPr>
        <w:rPr>
          <w:sz w:val="24"/>
          <w:szCs w:val="24"/>
        </w:rPr>
      </w:pPr>
    </w:p>
    <w:p w14:paraId="0B91932F" w14:textId="496209C7" w:rsidR="002C774A" w:rsidRDefault="002C774A" w:rsidP="00FE5C5A">
      <w:pPr>
        <w:rPr>
          <w:sz w:val="24"/>
          <w:szCs w:val="24"/>
        </w:rPr>
      </w:pPr>
      <w:r>
        <w:rPr>
          <w:sz w:val="24"/>
          <w:szCs w:val="24"/>
        </w:rPr>
        <w:t xml:space="preserve">This omission of turnout seems puzzling when attempting to understand the rise of radical right nationalist parties in part because </w:t>
      </w:r>
      <w:r w:rsidR="00D5278D">
        <w:rPr>
          <w:sz w:val="24"/>
          <w:szCs w:val="24"/>
        </w:rPr>
        <w:t>some</w:t>
      </w:r>
      <w:r>
        <w:rPr>
          <w:sz w:val="24"/>
          <w:szCs w:val="24"/>
        </w:rPr>
        <w:t xml:space="preserve"> evidence exists to suggest that previous non-voters are a part of the equation. </w:t>
      </w:r>
      <w:r w:rsidR="00D5278D">
        <w:rPr>
          <w:sz w:val="24"/>
          <w:szCs w:val="24"/>
        </w:rPr>
        <w:t>For example, after</w:t>
      </w:r>
      <w:r>
        <w:rPr>
          <w:sz w:val="24"/>
          <w:szCs w:val="24"/>
        </w:rPr>
        <w:t xml:space="preserve"> Germany</w:t>
      </w:r>
      <w:r w:rsidR="00D5278D">
        <w:rPr>
          <w:sz w:val="24"/>
          <w:szCs w:val="24"/>
        </w:rPr>
        <w:t>’s 2017 election</w:t>
      </w:r>
      <w:r>
        <w:rPr>
          <w:sz w:val="24"/>
          <w:szCs w:val="24"/>
        </w:rPr>
        <w:t xml:space="preserve"> an analysis featured in </w:t>
      </w:r>
      <w:r w:rsidRPr="002C774A">
        <w:rPr>
          <w:i/>
          <w:iCs/>
          <w:sz w:val="24"/>
          <w:szCs w:val="24"/>
        </w:rPr>
        <w:t>Zeit Online</w:t>
      </w:r>
      <w:r>
        <w:rPr>
          <w:sz w:val="24"/>
          <w:szCs w:val="24"/>
        </w:rPr>
        <w:t xml:space="preserve"> suggests that up to 1.47 million of the AfD’s nearly 6 million votes came from those who previously had not cast a ballot (Blickle et al 2017).</w:t>
      </w:r>
    </w:p>
    <w:p w14:paraId="511DE897" w14:textId="0370C5C5" w:rsidR="006C2407" w:rsidRDefault="006C2407" w:rsidP="00FE5C5A">
      <w:pPr>
        <w:rPr>
          <w:sz w:val="24"/>
          <w:szCs w:val="24"/>
        </w:rPr>
      </w:pPr>
    </w:p>
    <w:p w14:paraId="272F946D" w14:textId="77777777" w:rsidR="002E28AB" w:rsidRDefault="006C2407" w:rsidP="00FE5C5A">
      <w:pPr>
        <w:rPr>
          <w:sz w:val="24"/>
          <w:szCs w:val="24"/>
        </w:rPr>
      </w:pPr>
      <w:r>
        <w:rPr>
          <w:sz w:val="24"/>
          <w:szCs w:val="24"/>
        </w:rPr>
        <w:lastRenderedPageBreak/>
        <w:t>And it is not the case that scholars of the radical right have entirely ignored turnout as a concept of interest. Immerzeel and Pickup (2015), for example, suggest that the success of radical right parties has a demobilization effect in Eastern Europe, reducing systemic turnout, while in Western Europe that success has a mobilizing effect, particularly on wealthier and more politically interested citizens. Finseraas and Vernby (2014) suggest that increased turnout is a positive for both social democratic and radical right parties</w:t>
      </w:r>
      <w:r w:rsidR="00D31194">
        <w:rPr>
          <w:sz w:val="24"/>
          <w:szCs w:val="24"/>
        </w:rPr>
        <w:t>, and use evidence from Norway to show that at least in that country there are similarly sized electoral advantages from increased turnout for both types of party.</w:t>
      </w:r>
    </w:p>
    <w:p w14:paraId="1A39E266" w14:textId="77777777" w:rsidR="002E28AB" w:rsidRDefault="002E28AB" w:rsidP="00FE5C5A">
      <w:pPr>
        <w:rPr>
          <w:sz w:val="24"/>
          <w:szCs w:val="24"/>
        </w:rPr>
      </w:pPr>
    </w:p>
    <w:p w14:paraId="185FD309" w14:textId="3674F5A1" w:rsidR="006C2407" w:rsidRDefault="002E28AB" w:rsidP="00FE5C5A">
      <w:pPr>
        <w:rPr>
          <w:sz w:val="24"/>
          <w:szCs w:val="24"/>
        </w:rPr>
      </w:pPr>
      <w:r>
        <w:rPr>
          <w:sz w:val="24"/>
          <w:szCs w:val="24"/>
        </w:rPr>
        <w:t>What we believe is missing from this discussion is any specific analysis of who is voting more often. Why do radical right nationalist parties seemingly benefit from increased turnout? And why do we observe</w:t>
      </w:r>
      <w:r w:rsidR="00B67012">
        <w:rPr>
          <w:sz w:val="24"/>
          <w:szCs w:val="24"/>
        </w:rPr>
        <w:t xml:space="preserve"> in countries like Germany that the nationalist radical right benefits disproportionately from attracting previous non-voters?</w:t>
      </w:r>
    </w:p>
    <w:p w14:paraId="3FFFEEAA" w14:textId="5873CD0B" w:rsidR="00B67012" w:rsidRDefault="00B67012" w:rsidP="00FE5C5A">
      <w:pPr>
        <w:rPr>
          <w:sz w:val="24"/>
          <w:szCs w:val="24"/>
        </w:rPr>
      </w:pPr>
    </w:p>
    <w:p w14:paraId="6D8DFE4D" w14:textId="75D2652A" w:rsidR="00B67012" w:rsidRDefault="00B67012" w:rsidP="00FE5C5A">
      <w:pPr>
        <w:rPr>
          <w:sz w:val="24"/>
          <w:szCs w:val="24"/>
        </w:rPr>
      </w:pPr>
      <w:r>
        <w:rPr>
          <w:sz w:val="24"/>
          <w:szCs w:val="24"/>
        </w:rPr>
        <w:t xml:space="preserve">We believe there are two mechanisms that could be at work here. First, we think its likely that radical right parties, which really begin to emerge in 2000s in Europe, are mobilizing nationalist voters at higher rates than these voters were mobilized in the past. In the traditional left-right political system that dominated Western countries during the Cold War and the years immediately afterwards, </w:t>
      </w:r>
      <w:r w:rsidR="003B5AA9">
        <w:rPr>
          <w:sz w:val="24"/>
          <w:szCs w:val="24"/>
        </w:rPr>
        <w:t>nationalism was not a clear part of the competitive ideological spectrum. The fading of this traditional spectrum has been blamed for increases in voter apathy in many advanced democracies (Facchini and Jaeck 2019), but we believe it could also have been a spur for the creation of new, nationalist parties attempting to mobilize voters along a different dimension.</w:t>
      </w:r>
    </w:p>
    <w:p w14:paraId="237FF618" w14:textId="7F10B7AE" w:rsidR="003B5AA9" w:rsidRDefault="003B5AA9" w:rsidP="00FE5C5A">
      <w:pPr>
        <w:rPr>
          <w:sz w:val="24"/>
          <w:szCs w:val="24"/>
        </w:rPr>
      </w:pPr>
    </w:p>
    <w:p w14:paraId="3F637A8F" w14:textId="1A2B4E69" w:rsidR="003B5AA9" w:rsidRDefault="003B5AA9" w:rsidP="00FE5C5A">
      <w:pPr>
        <w:rPr>
          <w:sz w:val="24"/>
          <w:szCs w:val="24"/>
        </w:rPr>
      </w:pPr>
      <w:r>
        <w:rPr>
          <w:sz w:val="24"/>
          <w:szCs w:val="24"/>
        </w:rPr>
        <w:t>The diminishing of the traditional left-right spectrum, and particularly the decline of social democratic parties across Europe more broadly, is the second mechanism we believe could be at play here.</w:t>
      </w:r>
      <w:r w:rsidR="0080735A">
        <w:rPr>
          <w:sz w:val="24"/>
          <w:szCs w:val="24"/>
        </w:rPr>
        <w:t xml:space="preserve"> If social democracy as an ideological position is declining, as several studies note (see, for example, Benedetto et al 2020</w:t>
      </w:r>
      <w:r w:rsidR="00B85FDB">
        <w:rPr>
          <w:sz w:val="24"/>
          <w:szCs w:val="24"/>
        </w:rPr>
        <w:t>, or Berman 2019</w:t>
      </w:r>
      <w:r w:rsidR="0080735A">
        <w:rPr>
          <w:sz w:val="24"/>
          <w:szCs w:val="24"/>
        </w:rPr>
        <w:t>), even small increases in the likelihood to vote among nationalist voters could lead to a relatively notable increase in vote share for newly emerging radical right nationalist parties.</w:t>
      </w:r>
    </w:p>
    <w:p w14:paraId="60F51B92" w14:textId="362F8A2E" w:rsidR="0080735A" w:rsidRDefault="0080735A" w:rsidP="00FE5C5A">
      <w:pPr>
        <w:rPr>
          <w:sz w:val="24"/>
          <w:szCs w:val="24"/>
        </w:rPr>
      </w:pPr>
    </w:p>
    <w:p w14:paraId="58D4CDE4" w14:textId="0D164F18" w:rsidR="0080735A" w:rsidRDefault="0080735A" w:rsidP="00FE5C5A">
      <w:pPr>
        <w:rPr>
          <w:sz w:val="24"/>
          <w:szCs w:val="24"/>
        </w:rPr>
      </w:pPr>
      <w:r>
        <w:rPr>
          <w:sz w:val="24"/>
          <w:szCs w:val="24"/>
        </w:rPr>
        <w:t xml:space="preserve">Another possible mechanism at play could be the emergence of an entirely new cleavage, the anti-immigrant cleavage. Anti-immigrant attitudes are a particularly salient part of identification with the far right in Western Europe (Allen 2017), </w:t>
      </w:r>
      <w:r w:rsidR="009B4473">
        <w:rPr>
          <w:sz w:val="24"/>
          <w:szCs w:val="24"/>
        </w:rPr>
        <w:t xml:space="preserve">but we believe it is premature to claim that these anti-immigrant attitudes are a new phenomenon in Europe. Insofar as cultural chauvinism and nationalism have been a long-standing element of political life in Europe, </w:t>
      </w:r>
      <w:r w:rsidR="009B4473">
        <w:rPr>
          <w:sz w:val="24"/>
          <w:szCs w:val="24"/>
        </w:rPr>
        <w:lastRenderedPageBreak/>
        <w:t>modern nativism we believe is better understood as a manifestation of older ideological structures and attitudes, rather than an entirely new cleavage.</w:t>
      </w:r>
    </w:p>
    <w:p w14:paraId="2BE4F30F" w14:textId="1FF29CDE" w:rsidR="00FC52D5" w:rsidRDefault="00FC52D5" w:rsidP="00FE5C5A">
      <w:pPr>
        <w:rPr>
          <w:sz w:val="24"/>
          <w:szCs w:val="24"/>
        </w:rPr>
      </w:pPr>
      <w:r>
        <w:rPr>
          <w:sz w:val="24"/>
          <w:szCs w:val="24"/>
        </w:rPr>
        <w:t>In the countries we have chosen to study here, turnout over the time period analyzed has been generally lower than in decades past, but has slightly rebounded in recent elections, as seen below. Its important to keep in mind these broader turnout trends when considering the changing probability of any group of voters to show up on election day.</w:t>
      </w:r>
    </w:p>
    <w:p w14:paraId="041E4CEC" w14:textId="1CE0FBCF" w:rsidR="00BD649D" w:rsidRPr="00BD649D" w:rsidRDefault="00BD649D" w:rsidP="00FE5C5A">
      <w:pPr>
        <w:rPr>
          <w:i/>
          <w:iCs/>
          <w:sz w:val="24"/>
          <w:szCs w:val="24"/>
          <w:u w:val="single"/>
        </w:rPr>
      </w:pPr>
      <w:r>
        <w:rPr>
          <w:i/>
          <w:iCs/>
          <w:sz w:val="24"/>
          <w:szCs w:val="24"/>
          <w:u w:val="single"/>
        </w:rPr>
        <w:t xml:space="preserve">Figure 1 – Turnout in </w:t>
      </w:r>
      <w:r w:rsidR="00321BF3">
        <w:rPr>
          <w:i/>
          <w:iCs/>
          <w:sz w:val="24"/>
          <w:szCs w:val="24"/>
          <w:u w:val="single"/>
        </w:rPr>
        <w:t>Select European Elections</w:t>
      </w:r>
    </w:p>
    <w:tbl>
      <w:tblPr>
        <w:tblStyle w:val="TableGrid"/>
        <w:tblW w:w="0" w:type="auto"/>
        <w:tblLook w:val="04A0" w:firstRow="1" w:lastRow="0" w:firstColumn="1" w:lastColumn="0" w:noHBand="0" w:noVBand="1"/>
      </w:tblPr>
      <w:tblGrid>
        <w:gridCol w:w="1128"/>
        <w:gridCol w:w="1106"/>
        <w:gridCol w:w="1211"/>
        <w:gridCol w:w="1105"/>
        <w:gridCol w:w="1271"/>
        <w:gridCol w:w="1105"/>
        <w:gridCol w:w="1329"/>
        <w:gridCol w:w="1105"/>
      </w:tblGrid>
      <w:tr w:rsidR="00321BF3" w:rsidRPr="00321BF3" w14:paraId="5E0BD7C4" w14:textId="77777777" w:rsidTr="004D1D5B">
        <w:trPr>
          <w:trHeight w:val="360"/>
        </w:trPr>
        <w:tc>
          <w:tcPr>
            <w:tcW w:w="1618" w:type="dxa"/>
            <w:tcBorders>
              <w:top w:val="nil"/>
              <w:left w:val="nil"/>
              <w:right w:val="nil"/>
            </w:tcBorders>
            <w:shd w:val="clear" w:color="auto" w:fill="D0CECE" w:themeFill="background2" w:themeFillShade="E6"/>
          </w:tcPr>
          <w:p w14:paraId="49E1EA0E" w14:textId="77777777" w:rsidR="00321BF3" w:rsidRPr="00321BF3" w:rsidRDefault="00321BF3" w:rsidP="00321BF3">
            <w:pPr>
              <w:spacing w:after="160" w:line="259" w:lineRule="auto"/>
              <w:rPr>
                <w:b/>
                <w:bCs/>
              </w:rPr>
            </w:pPr>
            <w:r w:rsidRPr="00321BF3">
              <w:rPr>
                <w:b/>
                <w:bCs/>
              </w:rPr>
              <w:t>U.K.</w:t>
            </w:r>
          </w:p>
        </w:tc>
        <w:tc>
          <w:tcPr>
            <w:tcW w:w="1267" w:type="dxa"/>
            <w:tcBorders>
              <w:top w:val="nil"/>
              <w:left w:val="nil"/>
            </w:tcBorders>
            <w:shd w:val="clear" w:color="auto" w:fill="D0CECE" w:themeFill="background2" w:themeFillShade="E6"/>
          </w:tcPr>
          <w:p w14:paraId="7ADD045B" w14:textId="77777777" w:rsidR="00321BF3" w:rsidRPr="00321BF3" w:rsidRDefault="00321BF3" w:rsidP="00321BF3">
            <w:pPr>
              <w:spacing w:after="160" w:line="259" w:lineRule="auto"/>
              <w:rPr>
                <w:b/>
                <w:bCs/>
              </w:rPr>
            </w:pPr>
            <w:r w:rsidRPr="00321BF3">
              <w:rPr>
                <w:b/>
                <w:bCs/>
              </w:rPr>
              <w:t>Turnout</w:t>
            </w:r>
          </w:p>
        </w:tc>
        <w:tc>
          <w:tcPr>
            <w:tcW w:w="1619" w:type="dxa"/>
            <w:tcBorders>
              <w:top w:val="nil"/>
              <w:right w:val="nil"/>
            </w:tcBorders>
          </w:tcPr>
          <w:p w14:paraId="0BFD1F22" w14:textId="77777777" w:rsidR="00321BF3" w:rsidRPr="00321BF3" w:rsidRDefault="00321BF3" w:rsidP="00321BF3">
            <w:pPr>
              <w:spacing w:after="160" w:line="259" w:lineRule="auto"/>
              <w:rPr>
                <w:b/>
                <w:bCs/>
              </w:rPr>
            </w:pPr>
            <w:r w:rsidRPr="00321BF3">
              <w:rPr>
                <w:b/>
                <w:bCs/>
              </w:rPr>
              <w:t>France</w:t>
            </w:r>
          </w:p>
        </w:tc>
        <w:tc>
          <w:tcPr>
            <w:tcW w:w="1267" w:type="dxa"/>
            <w:tcBorders>
              <w:top w:val="nil"/>
              <w:left w:val="nil"/>
            </w:tcBorders>
          </w:tcPr>
          <w:p w14:paraId="08A00970" w14:textId="77777777" w:rsidR="00321BF3" w:rsidRPr="00321BF3" w:rsidRDefault="00321BF3" w:rsidP="00321BF3">
            <w:pPr>
              <w:spacing w:after="160" w:line="259" w:lineRule="auto"/>
              <w:rPr>
                <w:b/>
                <w:bCs/>
              </w:rPr>
            </w:pPr>
            <w:r w:rsidRPr="00321BF3">
              <w:rPr>
                <w:b/>
                <w:bCs/>
              </w:rPr>
              <w:t>Turnout</w:t>
            </w:r>
          </w:p>
        </w:tc>
        <w:tc>
          <w:tcPr>
            <w:tcW w:w="1619" w:type="dxa"/>
            <w:tcBorders>
              <w:top w:val="nil"/>
              <w:right w:val="nil"/>
            </w:tcBorders>
            <w:shd w:val="clear" w:color="auto" w:fill="D0CECE" w:themeFill="background2" w:themeFillShade="E6"/>
          </w:tcPr>
          <w:p w14:paraId="7E96B5FF" w14:textId="77777777" w:rsidR="00321BF3" w:rsidRPr="00321BF3" w:rsidRDefault="00321BF3" w:rsidP="00321BF3">
            <w:pPr>
              <w:spacing w:after="160" w:line="259" w:lineRule="auto"/>
              <w:rPr>
                <w:b/>
                <w:bCs/>
              </w:rPr>
            </w:pPr>
            <w:r w:rsidRPr="00321BF3">
              <w:rPr>
                <w:b/>
                <w:bCs/>
              </w:rPr>
              <w:t>Sweden</w:t>
            </w:r>
          </w:p>
        </w:tc>
        <w:tc>
          <w:tcPr>
            <w:tcW w:w="1267" w:type="dxa"/>
            <w:tcBorders>
              <w:top w:val="nil"/>
              <w:left w:val="nil"/>
            </w:tcBorders>
            <w:shd w:val="clear" w:color="auto" w:fill="D0CECE" w:themeFill="background2" w:themeFillShade="E6"/>
          </w:tcPr>
          <w:p w14:paraId="76D0ED32" w14:textId="77777777" w:rsidR="00321BF3" w:rsidRPr="00321BF3" w:rsidRDefault="00321BF3" w:rsidP="00321BF3">
            <w:pPr>
              <w:spacing w:after="160" w:line="259" w:lineRule="auto"/>
              <w:rPr>
                <w:b/>
                <w:bCs/>
              </w:rPr>
            </w:pPr>
            <w:r w:rsidRPr="00321BF3">
              <w:rPr>
                <w:b/>
                <w:bCs/>
              </w:rPr>
              <w:t>Turnout</w:t>
            </w:r>
          </w:p>
        </w:tc>
        <w:tc>
          <w:tcPr>
            <w:tcW w:w="1619" w:type="dxa"/>
            <w:tcBorders>
              <w:top w:val="nil"/>
              <w:right w:val="nil"/>
            </w:tcBorders>
          </w:tcPr>
          <w:p w14:paraId="48289737" w14:textId="77777777" w:rsidR="00321BF3" w:rsidRPr="00321BF3" w:rsidRDefault="00321BF3" w:rsidP="00321BF3">
            <w:pPr>
              <w:spacing w:after="160" w:line="259" w:lineRule="auto"/>
              <w:rPr>
                <w:b/>
                <w:bCs/>
              </w:rPr>
            </w:pPr>
            <w:r w:rsidRPr="00321BF3">
              <w:rPr>
                <w:b/>
                <w:bCs/>
              </w:rPr>
              <w:t>Germany</w:t>
            </w:r>
          </w:p>
        </w:tc>
        <w:tc>
          <w:tcPr>
            <w:tcW w:w="1267" w:type="dxa"/>
            <w:tcBorders>
              <w:top w:val="nil"/>
              <w:left w:val="nil"/>
              <w:right w:val="nil"/>
            </w:tcBorders>
          </w:tcPr>
          <w:p w14:paraId="583E0327" w14:textId="77777777" w:rsidR="00321BF3" w:rsidRPr="00321BF3" w:rsidRDefault="00321BF3" w:rsidP="00321BF3">
            <w:pPr>
              <w:spacing w:after="160" w:line="259" w:lineRule="auto"/>
              <w:rPr>
                <w:b/>
                <w:bCs/>
              </w:rPr>
            </w:pPr>
            <w:r w:rsidRPr="00321BF3">
              <w:rPr>
                <w:b/>
                <w:bCs/>
              </w:rPr>
              <w:t>Turnout</w:t>
            </w:r>
          </w:p>
        </w:tc>
      </w:tr>
      <w:tr w:rsidR="00321BF3" w:rsidRPr="00321BF3" w14:paraId="647FD816" w14:textId="77777777" w:rsidTr="004D1D5B">
        <w:trPr>
          <w:trHeight w:val="360"/>
        </w:trPr>
        <w:tc>
          <w:tcPr>
            <w:tcW w:w="1618" w:type="dxa"/>
            <w:tcBorders>
              <w:left w:val="nil"/>
              <w:right w:val="nil"/>
            </w:tcBorders>
            <w:shd w:val="clear" w:color="auto" w:fill="D0CECE" w:themeFill="background2" w:themeFillShade="E6"/>
          </w:tcPr>
          <w:p w14:paraId="076169ED" w14:textId="77777777" w:rsidR="00321BF3" w:rsidRPr="00321BF3" w:rsidRDefault="00321BF3" w:rsidP="00321BF3">
            <w:pPr>
              <w:spacing w:after="160" w:line="259" w:lineRule="auto"/>
            </w:pPr>
            <w:r w:rsidRPr="00321BF3">
              <w:t>2001</w:t>
            </w:r>
          </w:p>
        </w:tc>
        <w:tc>
          <w:tcPr>
            <w:tcW w:w="1267" w:type="dxa"/>
            <w:tcBorders>
              <w:left w:val="nil"/>
            </w:tcBorders>
            <w:shd w:val="clear" w:color="auto" w:fill="D0CECE" w:themeFill="background2" w:themeFillShade="E6"/>
          </w:tcPr>
          <w:p w14:paraId="3F2955E8" w14:textId="77777777" w:rsidR="00321BF3" w:rsidRPr="00321BF3" w:rsidRDefault="00321BF3" w:rsidP="00321BF3">
            <w:pPr>
              <w:spacing w:after="160" w:line="259" w:lineRule="auto"/>
            </w:pPr>
            <w:r w:rsidRPr="00321BF3">
              <w:t>71.4%</w:t>
            </w:r>
          </w:p>
        </w:tc>
        <w:tc>
          <w:tcPr>
            <w:tcW w:w="1619" w:type="dxa"/>
            <w:tcBorders>
              <w:right w:val="nil"/>
            </w:tcBorders>
          </w:tcPr>
          <w:p w14:paraId="2FD17096" w14:textId="77777777" w:rsidR="00321BF3" w:rsidRPr="00321BF3" w:rsidRDefault="00321BF3" w:rsidP="00321BF3">
            <w:pPr>
              <w:spacing w:after="160" w:line="259" w:lineRule="auto"/>
            </w:pPr>
            <w:r w:rsidRPr="00321BF3">
              <w:t>2002</w:t>
            </w:r>
          </w:p>
        </w:tc>
        <w:tc>
          <w:tcPr>
            <w:tcW w:w="1267" w:type="dxa"/>
            <w:tcBorders>
              <w:left w:val="nil"/>
            </w:tcBorders>
          </w:tcPr>
          <w:p w14:paraId="10D8F307" w14:textId="77777777" w:rsidR="00321BF3" w:rsidRPr="00321BF3" w:rsidRDefault="00321BF3" w:rsidP="00321BF3">
            <w:pPr>
              <w:spacing w:after="160" w:line="259" w:lineRule="auto"/>
            </w:pPr>
            <w:r w:rsidRPr="00321BF3">
              <w:t>64.4%</w:t>
            </w:r>
          </w:p>
        </w:tc>
        <w:tc>
          <w:tcPr>
            <w:tcW w:w="1619" w:type="dxa"/>
            <w:tcBorders>
              <w:right w:val="nil"/>
            </w:tcBorders>
            <w:shd w:val="clear" w:color="auto" w:fill="D0CECE" w:themeFill="background2" w:themeFillShade="E6"/>
          </w:tcPr>
          <w:p w14:paraId="6DF0006C" w14:textId="77777777" w:rsidR="00321BF3" w:rsidRPr="00321BF3" w:rsidRDefault="00321BF3" w:rsidP="00321BF3">
            <w:pPr>
              <w:spacing w:after="160" w:line="259" w:lineRule="auto"/>
            </w:pPr>
            <w:r w:rsidRPr="00321BF3">
              <w:t>2002</w:t>
            </w:r>
          </w:p>
        </w:tc>
        <w:tc>
          <w:tcPr>
            <w:tcW w:w="1267" w:type="dxa"/>
            <w:tcBorders>
              <w:left w:val="nil"/>
            </w:tcBorders>
            <w:shd w:val="clear" w:color="auto" w:fill="D0CECE" w:themeFill="background2" w:themeFillShade="E6"/>
          </w:tcPr>
          <w:p w14:paraId="2B4D27DF" w14:textId="77777777" w:rsidR="00321BF3" w:rsidRPr="00321BF3" w:rsidRDefault="00321BF3" w:rsidP="00321BF3">
            <w:pPr>
              <w:spacing w:after="160" w:line="259" w:lineRule="auto"/>
            </w:pPr>
            <w:r w:rsidRPr="00321BF3">
              <w:t>80.1%</w:t>
            </w:r>
          </w:p>
        </w:tc>
        <w:tc>
          <w:tcPr>
            <w:tcW w:w="1619" w:type="dxa"/>
            <w:tcBorders>
              <w:right w:val="nil"/>
            </w:tcBorders>
          </w:tcPr>
          <w:p w14:paraId="49FF5A92" w14:textId="77777777" w:rsidR="00321BF3" w:rsidRPr="00321BF3" w:rsidRDefault="00321BF3" w:rsidP="00321BF3">
            <w:pPr>
              <w:spacing w:after="160" w:line="259" w:lineRule="auto"/>
            </w:pPr>
            <w:r w:rsidRPr="00321BF3">
              <w:t>2002</w:t>
            </w:r>
          </w:p>
        </w:tc>
        <w:tc>
          <w:tcPr>
            <w:tcW w:w="1267" w:type="dxa"/>
            <w:tcBorders>
              <w:left w:val="nil"/>
              <w:right w:val="nil"/>
            </w:tcBorders>
          </w:tcPr>
          <w:p w14:paraId="64427498" w14:textId="77777777" w:rsidR="00321BF3" w:rsidRPr="00321BF3" w:rsidRDefault="00321BF3" w:rsidP="00321BF3">
            <w:pPr>
              <w:spacing w:after="160" w:line="259" w:lineRule="auto"/>
            </w:pPr>
            <w:r w:rsidRPr="00321BF3">
              <w:t>79.1%</w:t>
            </w:r>
          </w:p>
        </w:tc>
      </w:tr>
      <w:tr w:rsidR="00321BF3" w:rsidRPr="00321BF3" w14:paraId="4B7C55D4" w14:textId="77777777" w:rsidTr="004D1D5B">
        <w:trPr>
          <w:trHeight w:val="360"/>
        </w:trPr>
        <w:tc>
          <w:tcPr>
            <w:tcW w:w="1618" w:type="dxa"/>
            <w:tcBorders>
              <w:left w:val="nil"/>
              <w:right w:val="nil"/>
            </w:tcBorders>
            <w:shd w:val="clear" w:color="auto" w:fill="D0CECE" w:themeFill="background2" w:themeFillShade="E6"/>
          </w:tcPr>
          <w:p w14:paraId="1791C146" w14:textId="77777777" w:rsidR="00321BF3" w:rsidRPr="00321BF3" w:rsidRDefault="00321BF3" w:rsidP="00321BF3">
            <w:pPr>
              <w:spacing w:after="160" w:line="259" w:lineRule="auto"/>
            </w:pPr>
            <w:r w:rsidRPr="00321BF3">
              <w:t>2005</w:t>
            </w:r>
          </w:p>
        </w:tc>
        <w:tc>
          <w:tcPr>
            <w:tcW w:w="1267" w:type="dxa"/>
            <w:tcBorders>
              <w:left w:val="nil"/>
            </w:tcBorders>
            <w:shd w:val="clear" w:color="auto" w:fill="D0CECE" w:themeFill="background2" w:themeFillShade="E6"/>
          </w:tcPr>
          <w:p w14:paraId="4DB068E1" w14:textId="77777777" w:rsidR="00321BF3" w:rsidRPr="00321BF3" w:rsidRDefault="00321BF3" w:rsidP="00321BF3">
            <w:pPr>
              <w:spacing w:after="160" w:line="259" w:lineRule="auto"/>
            </w:pPr>
            <w:r w:rsidRPr="00321BF3">
              <w:t>61.8%</w:t>
            </w:r>
          </w:p>
        </w:tc>
        <w:tc>
          <w:tcPr>
            <w:tcW w:w="1619" w:type="dxa"/>
            <w:tcBorders>
              <w:right w:val="nil"/>
            </w:tcBorders>
          </w:tcPr>
          <w:p w14:paraId="03B46066" w14:textId="77777777" w:rsidR="00321BF3" w:rsidRPr="00321BF3" w:rsidRDefault="00321BF3" w:rsidP="00321BF3">
            <w:pPr>
              <w:spacing w:after="160" w:line="259" w:lineRule="auto"/>
            </w:pPr>
            <w:r w:rsidRPr="00321BF3">
              <w:t>2007</w:t>
            </w:r>
          </w:p>
        </w:tc>
        <w:tc>
          <w:tcPr>
            <w:tcW w:w="1267" w:type="dxa"/>
            <w:tcBorders>
              <w:left w:val="nil"/>
            </w:tcBorders>
          </w:tcPr>
          <w:p w14:paraId="39E2E8AB" w14:textId="77777777" w:rsidR="00321BF3" w:rsidRPr="00321BF3" w:rsidRDefault="00321BF3" w:rsidP="00321BF3">
            <w:pPr>
              <w:spacing w:after="160" w:line="259" w:lineRule="auto"/>
            </w:pPr>
            <w:r w:rsidRPr="00321BF3">
              <w:t>60.4%</w:t>
            </w:r>
          </w:p>
        </w:tc>
        <w:tc>
          <w:tcPr>
            <w:tcW w:w="1619" w:type="dxa"/>
            <w:tcBorders>
              <w:right w:val="nil"/>
            </w:tcBorders>
            <w:shd w:val="clear" w:color="auto" w:fill="D0CECE" w:themeFill="background2" w:themeFillShade="E6"/>
          </w:tcPr>
          <w:p w14:paraId="5104CA20" w14:textId="77777777" w:rsidR="00321BF3" w:rsidRPr="00321BF3" w:rsidRDefault="00321BF3" w:rsidP="00321BF3">
            <w:pPr>
              <w:spacing w:after="160" w:line="259" w:lineRule="auto"/>
            </w:pPr>
            <w:r w:rsidRPr="00321BF3">
              <w:t>2006</w:t>
            </w:r>
          </w:p>
        </w:tc>
        <w:tc>
          <w:tcPr>
            <w:tcW w:w="1267" w:type="dxa"/>
            <w:tcBorders>
              <w:left w:val="nil"/>
            </w:tcBorders>
            <w:shd w:val="clear" w:color="auto" w:fill="D0CECE" w:themeFill="background2" w:themeFillShade="E6"/>
          </w:tcPr>
          <w:p w14:paraId="3FCB1DF1" w14:textId="77777777" w:rsidR="00321BF3" w:rsidRPr="00321BF3" w:rsidRDefault="00321BF3" w:rsidP="00321BF3">
            <w:pPr>
              <w:spacing w:after="160" w:line="259" w:lineRule="auto"/>
            </w:pPr>
            <w:r w:rsidRPr="00321BF3">
              <w:t>82.0%</w:t>
            </w:r>
          </w:p>
        </w:tc>
        <w:tc>
          <w:tcPr>
            <w:tcW w:w="1619" w:type="dxa"/>
            <w:tcBorders>
              <w:right w:val="nil"/>
            </w:tcBorders>
          </w:tcPr>
          <w:p w14:paraId="6E488B1A" w14:textId="77777777" w:rsidR="00321BF3" w:rsidRPr="00321BF3" w:rsidRDefault="00321BF3" w:rsidP="00321BF3">
            <w:pPr>
              <w:spacing w:after="160" w:line="259" w:lineRule="auto"/>
            </w:pPr>
            <w:r w:rsidRPr="00321BF3">
              <w:t>2005</w:t>
            </w:r>
          </w:p>
        </w:tc>
        <w:tc>
          <w:tcPr>
            <w:tcW w:w="1267" w:type="dxa"/>
            <w:tcBorders>
              <w:left w:val="nil"/>
              <w:right w:val="nil"/>
            </w:tcBorders>
          </w:tcPr>
          <w:p w14:paraId="700D5B81" w14:textId="77777777" w:rsidR="00321BF3" w:rsidRPr="00321BF3" w:rsidRDefault="00321BF3" w:rsidP="00321BF3">
            <w:pPr>
              <w:spacing w:after="160" w:line="259" w:lineRule="auto"/>
            </w:pPr>
            <w:r w:rsidRPr="00321BF3">
              <w:t>77.7%</w:t>
            </w:r>
          </w:p>
        </w:tc>
      </w:tr>
      <w:tr w:rsidR="00321BF3" w:rsidRPr="00321BF3" w14:paraId="02FB6C9A" w14:textId="77777777" w:rsidTr="004D1D5B">
        <w:trPr>
          <w:trHeight w:val="360"/>
        </w:trPr>
        <w:tc>
          <w:tcPr>
            <w:tcW w:w="1618" w:type="dxa"/>
            <w:tcBorders>
              <w:left w:val="nil"/>
              <w:right w:val="nil"/>
            </w:tcBorders>
            <w:shd w:val="clear" w:color="auto" w:fill="D0CECE" w:themeFill="background2" w:themeFillShade="E6"/>
          </w:tcPr>
          <w:p w14:paraId="7BF58A7E" w14:textId="77777777" w:rsidR="00321BF3" w:rsidRPr="00321BF3" w:rsidRDefault="00321BF3" w:rsidP="00321BF3">
            <w:pPr>
              <w:spacing w:after="160" w:line="259" w:lineRule="auto"/>
            </w:pPr>
            <w:r w:rsidRPr="00321BF3">
              <w:t>2010</w:t>
            </w:r>
          </w:p>
        </w:tc>
        <w:tc>
          <w:tcPr>
            <w:tcW w:w="1267" w:type="dxa"/>
            <w:tcBorders>
              <w:left w:val="nil"/>
            </w:tcBorders>
            <w:shd w:val="clear" w:color="auto" w:fill="D0CECE" w:themeFill="background2" w:themeFillShade="E6"/>
          </w:tcPr>
          <w:p w14:paraId="15CEF3DE" w14:textId="77777777" w:rsidR="00321BF3" w:rsidRPr="00321BF3" w:rsidRDefault="00321BF3" w:rsidP="00321BF3">
            <w:pPr>
              <w:spacing w:after="160" w:line="259" w:lineRule="auto"/>
            </w:pPr>
            <w:r w:rsidRPr="00321BF3">
              <w:t>65.8%</w:t>
            </w:r>
          </w:p>
        </w:tc>
        <w:tc>
          <w:tcPr>
            <w:tcW w:w="1619" w:type="dxa"/>
            <w:tcBorders>
              <w:bottom w:val="single" w:sz="4" w:space="0" w:color="auto"/>
              <w:right w:val="nil"/>
            </w:tcBorders>
          </w:tcPr>
          <w:p w14:paraId="3F6E5B4C" w14:textId="77777777" w:rsidR="00321BF3" w:rsidRPr="00321BF3" w:rsidRDefault="00321BF3" w:rsidP="00321BF3">
            <w:pPr>
              <w:spacing w:after="160" w:line="259" w:lineRule="auto"/>
            </w:pPr>
            <w:r w:rsidRPr="00321BF3">
              <w:t>2012</w:t>
            </w:r>
          </w:p>
        </w:tc>
        <w:tc>
          <w:tcPr>
            <w:tcW w:w="1267" w:type="dxa"/>
            <w:tcBorders>
              <w:left w:val="nil"/>
              <w:bottom w:val="single" w:sz="4" w:space="0" w:color="auto"/>
            </w:tcBorders>
          </w:tcPr>
          <w:p w14:paraId="07B14FAD" w14:textId="77777777" w:rsidR="00321BF3" w:rsidRPr="00321BF3" w:rsidRDefault="00321BF3" w:rsidP="00321BF3">
            <w:pPr>
              <w:spacing w:after="160" w:line="259" w:lineRule="auto"/>
            </w:pPr>
            <w:r w:rsidRPr="00321BF3">
              <w:t>57.2%</w:t>
            </w:r>
          </w:p>
        </w:tc>
        <w:tc>
          <w:tcPr>
            <w:tcW w:w="1619" w:type="dxa"/>
            <w:tcBorders>
              <w:right w:val="nil"/>
            </w:tcBorders>
            <w:shd w:val="clear" w:color="auto" w:fill="D0CECE" w:themeFill="background2" w:themeFillShade="E6"/>
          </w:tcPr>
          <w:p w14:paraId="384A43E4" w14:textId="77777777" w:rsidR="00321BF3" w:rsidRPr="00321BF3" w:rsidRDefault="00321BF3" w:rsidP="00321BF3">
            <w:pPr>
              <w:spacing w:after="160" w:line="259" w:lineRule="auto"/>
            </w:pPr>
            <w:r w:rsidRPr="00321BF3">
              <w:t>2010</w:t>
            </w:r>
          </w:p>
        </w:tc>
        <w:tc>
          <w:tcPr>
            <w:tcW w:w="1267" w:type="dxa"/>
            <w:tcBorders>
              <w:left w:val="nil"/>
            </w:tcBorders>
            <w:shd w:val="clear" w:color="auto" w:fill="D0CECE" w:themeFill="background2" w:themeFillShade="E6"/>
          </w:tcPr>
          <w:p w14:paraId="141B4378" w14:textId="77777777" w:rsidR="00321BF3" w:rsidRPr="00321BF3" w:rsidRDefault="00321BF3" w:rsidP="00321BF3">
            <w:pPr>
              <w:spacing w:after="160" w:line="259" w:lineRule="auto"/>
            </w:pPr>
            <w:r w:rsidRPr="00321BF3">
              <w:t>84.6%</w:t>
            </w:r>
          </w:p>
        </w:tc>
        <w:tc>
          <w:tcPr>
            <w:tcW w:w="1619" w:type="dxa"/>
            <w:tcBorders>
              <w:right w:val="nil"/>
            </w:tcBorders>
          </w:tcPr>
          <w:p w14:paraId="74F80A90" w14:textId="77777777" w:rsidR="00321BF3" w:rsidRPr="00321BF3" w:rsidRDefault="00321BF3" w:rsidP="00321BF3">
            <w:pPr>
              <w:spacing w:after="160" w:line="259" w:lineRule="auto"/>
            </w:pPr>
            <w:r w:rsidRPr="00321BF3">
              <w:t>2009</w:t>
            </w:r>
          </w:p>
        </w:tc>
        <w:tc>
          <w:tcPr>
            <w:tcW w:w="1267" w:type="dxa"/>
            <w:tcBorders>
              <w:left w:val="nil"/>
              <w:right w:val="nil"/>
            </w:tcBorders>
          </w:tcPr>
          <w:p w14:paraId="6ABA2A73" w14:textId="77777777" w:rsidR="00321BF3" w:rsidRPr="00321BF3" w:rsidRDefault="00321BF3" w:rsidP="00321BF3">
            <w:pPr>
              <w:spacing w:after="160" w:line="259" w:lineRule="auto"/>
            </w:pPr>
            <w:r w:rsidRPr="00321BF3">
              <w:t>70.8%</w:t>
            </w:r>
          </w:p>
        </w:tc>
      </w:tr>
      <w:tr w:rsidR="00321BF3" w:rsidRPr="00321BF3" w14:paraId="342D88CE" w14:textId="77777777" w:rsidTr="004D1D5B">
        <w:trPr>
          <w:trHeight w:val="360"/>
        </w:trPr>
        <w:tc>
          <w:tcPr>
            <w:tcW w:w="1618" w:type="dxa"/>
            <w:tcBorders>
              <w:left w:val="nil"/>
              <w:bottom w:val="single" w:sz="4" w:space="0" w:color="auto"/>
              <w:right w:val="nil"/>
            </w:tcBorders>
            <w:shd w:val="clear" w:color="auto" w:fill="D0CECE" w:themeFill="background2" w:themeFillShade="E6"/>
          </w:tcPr>
          <w:p w14:paraId="0281F5DD" w14:textId="77777777" w:rsidR="00321BF3" w:rsidRPr="00321BF3" w:rsidRDefault="00321BF3" w:rsidP="00321BF3">
            <w:pPr>
              <w:spacing w:after="160" w:line="259" w:lineRule="auto"/>
            </w:pPr>
            <w:r w:rsidRPr="00321BF3">
              <w:t>2015</w:t>
            </w:r>
          </w:p>
        </w:tc>
        <w:tc>
          <w:tcPr>
            <w:tcW w:w="1267" w:type="dxa"/>
            <w:tcBorders>
              <w:left w:val="nil"/>
              <w:bottom w:val="single" w:sz="4" w:space="0" w:color="auto"/>
            </w:tcBorders>
            <w:shd w:val="clear" w:color="auto" w:fill="D0CECE" w:themeFill="background2" w:themeFillShade="E6"/>
          </w:tcPr>
          <w:p w14:paraId="4EC1CF51" w14:textId="77777777" w:rsidR="00321BF3" w:rsidRPr="00321BF3" w:rsidRDefault="00321BF3" w:rsidP="00321BF3">
            <w:pPr>
              <w:spacing w:after="160" w:line="259" w:lineRule="auto"/>
            </w:pPr>
            <w:r w:rsidRPr="00321BF3">
              <w:t>66.4%</w:t>
            </w:r>
          </w:p>
        </w:tc>
        <w:tc>
          <w:tcPr>
            <w:tcW w:w="1619" w:type="dxa"/>
            <w:tcBorders>
              <w:bottom w:val="nil"/>
              <w:right w:val="nil"/>
            </w:tcBorders>
          </w:tcPr>
          <w:p w14:paraId="7C3B3175" w14:textId="77777777" w:rsidR="00321BF3" w:rsidRPr="00321BF3" w:rsidRDefault="00321BF3" w:rsidP="00321BF3">
            <w:pPr>
              <w:spacing w:after="160" w:line="259" w:lineRule="auto"/>
            </w:pPr>
            <w:r w:rsidRPr="00321BF3">
              <w:t>2017</w:t>
            </w:r>
          </w:p>
        </w:tc>
        <w:tc>
          <w:tcPr>
            <w:tcW w:w="1267" w:type="dxa"/>
            <w:tcBorders>
              <w:left w:val="nil"/>
              <w:bottom w:val="nil"/>
            </w:tcBorders>
          </w:tcPr>
          <w:p w14:paraId="05E5424E" w14:textId="77777777" w:rsidR="00321BF3" w:rsidRPr="00321BF3" w:rsidRDefault="00321BF3" w:rsidP="00321BF3">
            <w:pPr>
              <w:spacing w:after="160" w:line="259" w:lineRule="auto"/>
            </w:pPr>
            <w:r w:rsidRPr="00321BF3">
              <w:t>48.7%</w:t>
            </w:r>
          </w:p>
        </w:tc>
        <w:tc>
          <w:tcPr>
            <w:tcW w:w="1619" w:type="dxa"/>
            <w:tcBorders>
              <w:bottom w:val="single" w:sz="4" w:space="0" w:color="auto"/>
              <w:right w:val="nil"/>
            </w:tcBorders>
            <w:shd w:val="clear" w:color="auto" w:fill="D0CECE" w:themeFill="background2" w:themeFillShade="E6"/>
          </w:tcPr>
          <w:p w14:paraId="472D53EC" w14:textId="77777777" w:rsidR="00321BF3" w:rsidRPr="00321BF3" w:rsidRDefault="00321BF3" w:rsidP="00321BF3">
            <w:pPr>
              <w:spacing w:after="160" w:line="259" w:lineRule="auto"/>
            </w:pPr>
            <w:r w:rsidRPr="00321BF3">
              <w:t>2014</w:t>
            </w:r>
          </w:p>
        </w:tc>
        <w:tc>
          <w:tcPr>
            <w:tcW w:w="1267" w:type="dxa"/>
            <w:tcBorders>
              <w:left w:val="nil"/>
              <w:bottom w:val="single" w:sz="4" w:space="0" w:color="auto"/>
            </w:tcBorders>
            <w:shd w:val="clear" w:color="auto" w:fill="D0CECE" w:themeFill="background2" w:themeFillShade="E6"/>
          </w:tcPr>
          <w:p w14:paraId="30F9574E" w14:textId="77777777" w:rsidR="00321BF3" w:rsidRPr="00321BF3" w:rsidRDefault="00321BF3" w:rsidP="00321BF3">
            <w:pPr>
              <w:spacing w:after="160" w:line="259" w:lineRule="auto"/>
            </w:pPr>
            <w:r w:rsidRPr="00321BF3">
              <w:t>85.8%</w:t>
            </w:r>
          </w:p>
        </w:tc>
        <w:tc>
          <w:tcPr>
            <w:tcW w:w="1619" w:type="dxa"/>
            <w:tcBorders>
              <w:bottom w:val="single" w:sz="4" w:space="0" w:color="auto"/>
              <w:right w:val="nil"/>
            </w:tcBorders>
          </w:tcPr>
          <w:p w14:paraId="68972B9E" w14:textId="77777777" w:rsidR="00321BF3" w:rsidRPr="00321BF3" w:rsidRDefault="00321BF3" w:rsidP="00321BF3">
            <w:pPr>
              <w:spacing w:after="160" w:line="259" w:lineRule="auto"/>
            </w:pPr>
            <w:r w:rsidRPr="00321BF3">
              <w:t>2013</w:t>
            </w:r>
          </w:p>
        </w:tc>
        <w:tc>
          <w:tcPr>
            <w:tcW w:w="1267" w:type="dxa"/>
            <w:tcBorders>
              <w:left w:val="nil"/>
              <w:bottom w:val="single" w:sz="4" w:space="0" w:color="auto"/>
              <w:right w:val="nil"/>
            </w:tcBorders>
          </w:tcPr>
          <w:p w14:paraId="0A7135E7" w14:textId="77777777" w:rsidR="00321BF3" w:rsidRPr="00321BF3" w:rsidRDefault="00321BF3" w:rsidP="00321BF3">
            <w:pPr>
              <w:spacing w:after="160" w:line="259" w:lineRule="auto"/>
            </w:pPr>
            <w:r w:rsidRPr="00321BF3">
              <w:t>71.5%</w:t>
            </w:r>
          </w:p>
        </w:tc>
      </w:tr>
      <w:tr w:rsidR="00321BF3" w:rsidRPr="00321BF3" w14:paraId="4F5DD16C" w14:textId="77777777" w:rsidTr="004D1D5B">
        <w:trPr>
          <w:trHeight w:val="360"/>
        </w:trPr>
        <w:tc>
          <w:tcPr>
            <w:tcW w:w="1618" w:type="dxa"/>
            <w:tcBorders>
              <w:left w:val="nil"/>
              <w:bottom w:val="nil"/>
              <w:right w:val="nil"/>
            </w:tcBorders>
            <w:shd w:val="clear" w:color="auto" w:fill="D0CECE" w:themeFill="background2" w:themeFillShade="E6"/>
          </w:tcPr>
          <w:p w14:paraId="51E60EEB" w14:textId="77777777" w:rsidR="00321BF3" w:rsidRPr="00321BF3" w:rsidRDefault="00321BF3" w:rsidP="00321BF3">
            <w:pPr>
              <w:spacing w:after="160" w:line="259" w:lineRule="auto"/>
            </w:pPr>
            <w:r w:rsidRPr="00321BF3">
              <w:t>2017</w:t>
            </w:r>
          </w:p>
        </w:tc>
        <w:tc>
          <w:tcPr>
            <w:tcW w:w="1267" w:type="dxa"/>
            <w:tcBorders>
              <w:left w:val="nil"/>
              <w:bottom w:val="nil"/>
            </w:tcBorders>
            <w:shd w:val="clear" w:color="auto" w:fill="D0CECE" w:themeFill="background2" w:themeFillShade="E6"/>
          </w:tcPr>
          <w:p w14:paraId="01D71D2D" w14:textId="77777777" w:rsidR="00321BF3" w:rsidRPr="00321BF3" w:rsidRDefault="00321BF3" w:rsidP="00321BF3">
            <w:pPr>
              <w:spacing w:after="160" w:line="259" w:lineRule="auto"/>
            </w:pPr>
            <w:r w:rsidRPr="00321BF3">
              <w:t>69.0%</w:t>
            </w:r>
          </w:p>
        </w:tc>
        <w:tc>
          <w:tcPr>
            <w:tcW w:w="1619" w:type="dxa"/>
            <w:tcBorders>
              <w:top w:val="nil"/>
              <w:bottom w:val="nil"/>
              <w:right w:val="nil"/>
            </w:tcBorders>
          </w:tcPr>
          <w:p w14:paraId="3486E59F" w14:textId="77777777" w:rsidR="00321BF3" w:rsidRPr="00321BF3" w:rsidRDefault="00321BF3" w:rsidP="00321BF3">
            <w:pPr>
              <w:spacing w:after="160" w:line="259" w:lineRule="auto"/>
            </w:pPr>
          </w:p>
        </w:tc>
        <w:tc>
          <w:tcPr>
            <w:tcW w:w="1267" w:type="dxa"/>
            <w:tcBorders>
              <w:top w:val="nil"/>
              <w:left w:val="nil"/>
              <w:bottom w:val="nil"/>
            </w:tcBorders>
          </w:tcPr>
          <w:p w14:paraId="3623C6ED" w14:textId="77777777" w:rsidR="00321BF3" w:rsidRPr="00321BF3" w:rsidRDefault="00321BF3" w:rsidP="00321BF3">
            <w:pPr>
              <w:spacing w:after="160" w:line="259" w:lineRule="auto"/>
            </w:pPr>
          </w:p>
        </w:tc>
        <w:tc>
          <w:tcPr>
            <w:tcW w:w="1619" w:type="dxa"/>
            <w:tcBorders>
              <w:bottom w:val="nil"/>
              <w:right w:val="nil"/>
            </w:tcBorders>
            <w:shd w:val="clear" w:color="auto" w:fill="D0CECE" w:themeFill="background2" w:themeFillShade="E6"/>
          </w:tcPr>
          <w:p w14:paraId="15934B7D" w14:textId="77777777" w:rsidR="00321BF3" w:rsidRPr="00321BF3" w:rsidRDefault="00321BF3" w:rsidP="00321BF3">
            <w:pPr>
              <w:spacing w:after="160" w:line="259" w:lineRule="auto"/>
            </w:pPr>
            <w:r w:rsidRPr="00321BF3">
              <w:t>2018</w:t>
            </w:r>
          </w:p>
        </w:tc>
        <w:tc>
          <w:tcPr>
            <w:tcW w:w="1267" w:type="dxa"/>
            <w:tcBorders>
              <w:left w:val="nil"/>
              <w:bottom w:val="nil"/>
            </w:tcBorders>
            <w:shd w:val="clear" w:color="auto" w:fill="D0CECE" w:themeFill="background2" w:themeFillShade="E6"/>
          </w:tcPr>
          <w:p w14:paraId="4EC3C8A2" w14:textId="77777777" w:rsidR="00321BF3" w:rsidRPr="00321BF3" w:rsidRDefault="00321BF3" w:rsidP="00321BF3">
            <w:pPr>
              <w:spacing w:after="160" w:line="259" w:lineRule="auto"/>
            </w:pPr>
            <w:r w:rsidRPr="00321BF3">
              <w:t>87.2%</w:t>
            </w:r>
          </w:p>
        </w:tc>
        <w:tc>
          <w:tcPr>
            <w:tcW w:w="1619" w:type="dxa"/>
            <w:tcBorders>
              <w:bottom w:val="nil"/>
              <w:right w:val="nil"/>
            </w:tcBorders>
          </w:tcPr>
          <w:p w14:paraId="47F4E0F8" w14:textId="77777777" w:rsidR="00321BF3" w:rsidRPr="00321BF3" w:rsidRDefault="00321BF3" w:rsidP="00321BF3">
            <w:pPr>
              <w:spacing w:after="160" w:line="259" w:lineRule="auto"/>
            </w:pPr>
            <w:r w:rsidRPr="00321BF3">
              <w:t>2017</w:t>
            </w:r>
          </w:p>
        </w:tc>
        <w:tc>
          <w:tcPr>
            <w:tcW w:w="1267" w:type="dxa"/>
            <w:tcBorders>
              <w:left w:val="nil"/>
              <w:bottom w:val="nil"/>
              <w:right w:val="nil"/>
            </w:tcBorders>
          </w:tcPr>
          <w:p w14:paraId="18675613" w14:textId="77777777" w:rsidR="00321BF3" w:rsidRPr="00321BF3" w:rsidRDefault="00321BF3" w:rsidP="00321BF3">
            <w:pPr>
              <w:spacing w:after="160" w:line="259" w:lineRule="auto"/>
            </w:pPr>
            <w:r w:rsidRPr="00321BF3">
              <w:t>76.2%</w:t>
            </w:r>
          </w:p>
        </w:tc>
      </w:tr>
    </w:tbl>
    <w:p w14:paraId="1C956148" w14:textId="31E6D764" w:rsidR="00BD2199" w:rsidRDefault="00BD2199" w:rsidP="00FE5C5A">
      <w:pPr>
        <w:rPr>
          <w:sz w:val="24"/>
          <w:szCs w:val="24"/>
        </w:rPr>
      </w:pPr>
    </w:p>
    <w:p w14:paraId="07B74F50" w14:textId="2809DCF7" w:rsidR="00BD2199" w:rsidRPr="005657C5" w:rsidRDefault="00BD2199" w:rsidP="00FE5C5A">
      <w:pPr>
        <w:rPr>
          <w:b/>
          <w:bCs/>
          <w:sz w:val="24"/>
          <w:szCs w:val="24"/>
        </w:rPr>
      </w:pPr>
      <w:r w:rsidRPr="005657C5">
        <w:rPr>
          <w:b/>
          <w:bCs/>
          <w:sz w:val="24"/>
          <w:szCs w:val="24"/>
        </w:rPr>
        <w:t>4. Data and Hypotheses</w:t>
      </w:r>
    </w:p>
    <w:p w14:paraId="1D6EB87D" w14:textId="76667456" w:rsidR="00BD2199" w:rsidRDefault="00082AAA" w:rsidP="00FE5C5A">
      <w:pPr>
        <w:rPr>
          <w:sz w:val="24"/>
          <w:szCs w:val="24"/>
        </w:rPr>
      </w:pPr>
      <w:r>
        <w:rPr>
          <w:sz w:val="24"/>
          <w:szCs w:val="24"/>
        </w:rPr>
        <w:t>For this project, we have opted to use data from the European Social Survey (henceforth, ESS). ESS data has some unique advantages for this project. In its core modules, the ESS asks respondents several questions related to politics, political attitudes and nationalism that are essential for this project. While its range of years covered is somewhat smaller than we would like, the bi-annual nature of the survey provides opportunities for close tracking of attitudes. At the same time, the survey covers a wide variety of European countries. While we intend, in this paper, to focus only on 4 – France, Germany, Sweden and the United Kingdom – the breadth of data available means expansion of the study is possible.</w:t>
      </w:r>
    </w:p>
    <w:p w14:paraId="5389ED85" w14:textId="6D69DEE8" w:rsidR="00082AAA" w:rsidRDefault="00082AAA" w:rsidP="00FE5C5A">
      <w:pPr>
        <w:rPr>
          <w:sz w:val="24"/>
          <w:szCs w:val="24"/>
        </w:rPr>
      </w:pPr>
    </w:p>
    <w:p w14:paraId="0F4FD6D8" w14:textId="0CF56D74" w:rsidR="00FB0460" w:rsidRDefault="00FB0460" w:rsidP="00FE5C5A">
      <w:pPr>
        <w:rPr>
          <w:sz w:val="24"/>
          <w:szCs w:val="24"/>
        </w:rPr>
      </w:pPr>
      <w:r>
        <w:rPr>
          <w:sz w:val="24"/>
          <w:szCs w:val="24"/>
        </w:rPr>
        <w:t>That being said, there are drawbacks to using the ESS for this project. Chiefly, there are no direct questions on nationalism or nationalist attitudes in the ESS. Instead, we have to rely on several questions that should be highly correlated with nationalist attitudes.</w:t>
      </w:r>
    </w:p>
    <w:p w14:paraId="4DDFB046" w14:textId="77777777" w:rsidR="00FB0460" w:rsidRDefault="00FB0460" w:rsidP="00FE5C5A">
      <w:pPr>
        <w:rPr>
          <w:sz w:val="24"/>
          <w:szCs w:val="24"/>
        </w:rPr>
      </w:pPr>
    </w:p>
    <w:p w14:paraId="11995116" w14:textId="09718C0A" w:rsidR="00082AAA" w:rsidRDefault="00082AAA" w:rsidP="00FE5C5A">
      <w:pPr>
        <w:rPr>
          <w:sz w:val="24"/>
          <w:szCs w:val="24"/>
        </w:rPr>
      </w:pPr>
      <w:r>
        <w:rPr>
          <w:sz w:val="24"/>
          <w:szCs w:val="24"/>
        </w:rPr>
        <w:t xml:space="preserve">To track the nationalist attitudes of voters, we focus in on 3 variables we believe capture important elements of nationalism as a political ideology. The first, labeled IMPTRAD, asks how similar a person who tries to follow the traditions and customs of their religion or family is to the respondent, with 1 representing the most similarity, and 6 the least. This </w:t>
      </w:r>
      <w:r w:rsidR="00FB0460">
        <w:rPr>
          <w:sz w:val="24"/>
          <w:szCs w:val="24"/>
        </w:rPr>
        <w:t>question</w:t>
      </w:r>
      <w:r>
        <w:rPr>
          <w:sz w:val="24"/>
          <w:szCs w:val="24"/>
        </w:rPr>
        <w:t xml:space="preserve"> captures </w:t>
      </w:r>
      <w:r>
        <w:rPr>
          <w:sz w:val="24"/>
          <w:szCs w:val="24"/>
        </w:rPr>
        <w:lastRenderedPageBreak/>
        <w:t>the importance of tradition and custom in various conceptualizations of nationalism</w:t>
      </w:r>
      <w:r w:rsidR="00FB0460">
        <w:rPr>
          <w:sz w:val="24"/>
          <w:szCs w:val="24"/>
        </w:rPr>
        <w:t>. Those holding nationalist attitudes we believe should place themselves relatively lower on this scale.</w:t>
      </w:r>
    </w:p>
    <w:p w14:paraId="6644BF36" w14:textId="766862C4" w:rsidR="00082AAA" w:rsidRDefault="00082AAA" w:rsidP="00FE5C5A">
      <w:pPr>
        <w:rPr>
          <w:sz w:val="24"/>
          <w:szCs w:val="24"/>
        </w:rPr>
      </w:pPr>
    </w:p>
    <w:p w14:paraId="1DA1E57A" w14:textId="68362BE8" w:rsidR="00082AAA" w:rsidRDefault="00082AAA" w:rsidP="00FE5C5A">
      <w:pPr>
        <w:rPr>
          <w:sz w:val="24"/>
          <w:szCs w:val="24"/>
        </w:rPr>
      </w:pPr>
      <w:r>
        <w:rPr>
          <w:sz w:val="24"/>
          <w:szCs w:val="24"/>
        </w:rPr>
        <w:t xml:space="preserve">The second variable we track, labeled IPSTRGV, asks how similar a person who wants the state to be strong and able to defend its citizens is to the respondent. Again, 1 represents the highest level of similarity, 6 the least. </w:t>
      </w:r>
      <w:r w:rsidR="00FB0460">
        <w:rPr>
          <w:sz w:val="24"/>
          <w:szCs w:val="24"/>
        </w:rPr>
        <w:t>This question captures to some degree the importance of sovereignty and security for nationalists.</w:t>
      </w:r>
      <w:r w:rsidR="00E512A5">
        <w:rPr>
          <w:sz w:val="24"/>
          <w:szCs w:val="24"/>
        </w:rPr>
        <w:t xml:space="preserve"> We believe those holding nationalist attitudes should place themselves relatively lower on this scale.</w:t>
      </w:r>
    </w:p>
    <w:p w14:paraId="013F43B8" w14:textId="7315948D" w:rsidR="00E512A5" w:rsidRDefault="00E512A5" w:rsidP="00FE5C5A">
      <w:pPr>
        <w:rPr>
          <w:sz w:val="24"/>
          <w:szCs w:val="24"/>
        </w:rPr>
      </w:pPr>
    </w:p>
    <w:p w14:paraId="07B1BD8F" w14:textId="77777777" w:rsidR="003456A0" w:rsidRDefault="00E512A5" w:rsidP="00FE5C5A">
      <w:pPr>
        <w:rPr>
          <w:sz w:val="24"/>
          <w:szCs w:val="24"/>
        </w:rPr>
      </w:pPr>
      <w:r>
        <w:rPr>
          <w:sz w:val="24"/>
          <w:szCs w:val="24"/>
        </w:rPr>
        <w:t>Finally, we also track a variable (IMUECLT) that asks respondents about the impact, negative or positive, of immigrants on the cultural life of their country. On a scale of 0-10, lower scores indicate that cultural life is undermined, while higher scores indicate that cultural life is enriched. While not a perfect correlate, we believe that this variable fairly accurately captures the nativist elements of nationalist ideology that have become particularly relevant in the last decades</w:t>
      </w:r>
      <w:r>
        <w:rPr>
          <w:rStyle w:val="FootnoteReference"/>
          <w:sz w:val="24"/>
          <w:szCs w:val="24"/>
        </w:rPr>
        <w:footnoteReference w:id="1"/>
      </w:r>
      <w:r>
        <w:rPr>
          <w:sz w:val="24"/>
          <w:szCs w:val="24"/>
        </w:rPr>
        <w:t>.</w:t>
      </w:r>
    </w:p>
    <w:p w14:paraId="4F541430" w14:textId="77777777" w:rsidR="003456A0" w:rsidRDefault="003456A0" w:rsidP="00FE5C5A">
      <w:pPr>
        <w:rPr>
          <w:sz w:val="24"/>
          <w:szCs w:val="24"/>
        </w:rPr>
      </w:pPr>
    </w:p>
    <w:p w14:paraId="11B9002E" w14:textId="77777777" w:rsidR="005A78E9" w:rsidRDefault="003456A0" w:rsidP="00FE5C5A">
      <w:pPr>
        <w:rPr>
          <w:sz w:val="24"/>
          <w:szCs w:val="24"/>
        </w:rPr>
      </w:pPr>
      <w:r>
        <w:rPr>
          <w:sz w:val="24"/>
          <w:szCs w:val="24"/>
        </w:rPr>
        <w:t>To test how accurately these variables capture nationalist party voting, we run a logistic regression to establish how much more likely a voter in the 9</w:t>
      </w:r>
      <w:r w:rsidRPr="003456A0">
        <w:rPr>
          <w:sz w:val="24"/>
          <w:szCs w:val="24"/>
          <w:vertAlign w:val="superscript"/>
        </w:rPr>
        <w:t>th</w:t>
      </w:r>
      <w:r>
        <w:rPr>
          <w:sz w:val="24"/>
          <w:szCs w:val="24"/>
        </w:rPr>
        <w:t xml:space="preserve"> wave of the ESS is to identify with a nationalist party in each of the four countries in our study. We then converted these into predicted probabilities, presented below.</w:t>
      </w:r>
      <w:r w:rsidR="00DB5401">
        <w:rPr>
          <w:sz w:val="24"/>
          <w:szCs w:val="24"/>
        </w:rPr>
        <w:t xml:space="preserve"> For ease of interpretation, the variables were transformed into dichotomous bins, with values less than 3 on the respective scales representing more nationalist attitudes, and those over 3 representing less nationalist attitudes. The first column represents the base probability of voting for the nationalist party in each country (the AfD in Germany, the Sweden Democrats in Sweden, the National Front in France, and UKIP in the U.K.</w:t>
      </w:r>
      <w:r w:rsidR="00D80D9E">
        <w:rPr>
          <w:rStyle w:val="FootnoteReference"/>
          <w:sz w:val="24"/>
          <w:szCs w:val="24"/>
        </w:rPr>
        <w:footnoteReference w:id="2"/>
      </w:r>
      <w:r w:rsidR="00DB5401">
        <w:rPr>
          <w:sz w:val="24"/>
          <w:szCs w:val="24"/>
        </w:rPr>
        <w:t>), while the named columns represent the predicted probability of voting for the party with that variable held at 1 and the other variables held constant at 0. The final column represents the predicted probability of voting for nationalist party in each country if all 3 variables are held at 1.</w:t>
      </w:r>
    </w:p>
    <w:p w14:paraId="13B5B551" w14:textId="080A645D" w:rsidR="003456A0" w:rsidRPr="005A78E9" w:rsidRDefault="006B11D7" w:rsidP="00FE5C5A">
      <w:pPr>
        <w:rPr>
          <w:sz w:val="24"/>
          <w:szCs w:val="24"/>
        </w:rPr>
      </w:pPr>
      <w:r w:rsidRPr="006B11D7">
        <w:rPr>
          <w:i/>
          <w:iCs/>
          <w:sz w:val="24"/>
          <w:szCs w:val="24"/>
          <w:u w:val="single"/>
        </w:rPr>
        <w:lastRenderedPageBreak/>
        <w:t>Table 1</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456A0" w14:paraId="1F0BC627" w14:textId="77777777" w:rsidTr="003456A0">
        <w:tc>
          <w:tcPr>
            <w:tcW w:w="1558" w:type="dxa"/>
          </w:tcPr>
          <w:p w14:paraId="3B3B4C00" w14:textId="77777777" w:rsidR="003456A0" w:rsidRDefault="003456A0" w:rsidP="00FE5C5A">
            <w:pPr>
              <w:rPr>
                <w:sz w:val="24"/>
                <w:szCs w:val="24"/>
              </w:rPr>
            </w:pPr>
          </w:p>
        </w:tc>
        <w:tc>
          <w:tcPr>
            <w:tcW w:w="1558" w:type="dxa"/>
          </w:tcPr>
          <w:p w14:paraId="6CDF650D" w14:textId="1288FEC2" w:rsidR="003456A0" w:rsidRDefault="00DB5401" w:rsidP="00FE5C5A">
            <w:pPr>
              <w:rPr>
                <w:sz w:val="24"/>
                <w:szCs w:val="24"/>
              </w:rPr>
            </w:pPr>
            <w:r>
              <w:rPr>
                <w:sz w:val="24"/>
                <w:szCs w:val="24"/>
              </w:rPr>
              <w:t>Base Probability</w:t>
            </w:r>
          </w:p>
        </w:tc>
        <w:tc>
          <w:tcPr>
            <w:tcW w:w="1558" w:type="dxa"/>
          </w:tcPr>
          <w:p w14:paraId="5134A7BF" w14:textId="1370EB92" w:rsidR="003456A0" w:rsidRDefault="00DB5401" w:rsidP="00FE5C5A">
            <w:pPr>
              <w:rPr>
                <w:sz w:val="24"/>
                <w:szCs w:val="24"/>
              </w:rPr>
            </w:pPr>
            <w:r>
              <w:rPr>
                <w:sz w:val="24"/>
                <w:szCs w:val="24"/>
              </w:rPr>
              <w:t>IMPTRAD</w:t>
            </w:r>
          </w:p>
        </w:tc>
        <w:tc>
          <w:tcPr>
            <w:tcW w:w="1558" w:type="dxa"/>
          </w:tcPr>
          <w:p w14:paraId="6C142652" w14:textId="0FC2AC58" w:rsidR="003456A0" w:rsidRDefault="00DB5401" w:rsidP="00FE5C5A">
            <w:pPr>
              <w:rPr>
                <w:sz w:val="24"/>
                <w:szCs w:val="24"/>
              </w:rPr>
            </w:pPr>
            <w:r>
              <w:rPr>
                <w:sz w:val="24"/>
                <w:szCs w:val="24"/>
              </w:rPr>
              <w:t>IPSTRGV</w:t>
            </w:r>
          </w:p>
        </w:tc>
        <w:tc>
          <w:tcPr>
            <w:tcW w:w="1559" w:type="dxa"/>
          </w:tcPr>
          <w:p w14:paraId="5C0F131F" w14:textId="0DD52FB9" w:rsidR="003456A0" w:rsidRDefault="00DB5401" w:rsidP="00FE5C5A">
            <w:pPr>
              <w:rPr>
                <w:sz w:val="24"/>
                <w:szCs w:val="24"/>
              </w:rPr>
            </w:pPr>
            <w:r>
              <w:rPr>
                <w:sz w:val="24"/>
                <w:szCs w:val="24"/>
              </w:rPr>
              <w:t>IMUECLT</w:t>
            </w:r>
          </w:p>
        </w:tc>
        <w:tc>
          <w:tcPr>
            <w:tcW w:w="1559" w:type="dxa"/>
          </w:tcPr>
          <w:p w14:paraId="495D6580" w14:textId="428D5929" w:rsidR="003456A0" w:rsidRDefault="00DB5401" w:rsidP="00FE5C5A">
            <w:pPr>
              <w:rPr>
                <w:sz w:val="24"/>
                <w:szCs w:val="24"/>
              </w:rPr>
            </w:pPr>
            <w:r>
              <w:rPr>
                <w:sz w:val="24"/>
                <w:szCs w:val="24"/>
              </w:rPr>
              <w:t>ALL</w:t>
            </w:r>
          </w:p>
        </w:tc>
      </w:tr>
      <w:tr w:rsidR="003456A0" w14:paraId="0081B8D5" w14:textId="77777777" w:rsidTr="003456A0">
        <w:tc>
          <w:tcPr>
            <w:tcW w:w="1558" w:type="dxa"/>
          </w:tcPr>
          <w:p w14:paraId="21BD9A2A" w14:textId="26E7E979" w:rsidR="003456A0" w:rsidRDefault="00DB5401" w:rsidP="00FE5C5A">
            <w:pPr>
              <w:rPr>
                <w:sz w:val="24"/>
                <w:szCs w:val="24"/>
              </w:rPr>
            </w:pPr>
            <w:r>
              <w:rPr>
                <w:sz w:val="24"/>
                <w:szCs w:val="24"/>
              </w:rPr>
              <w:t>Germany</w:t>
            </w:r>
          </w:p>
        </w:tc>
        <w:tc>
          <w:tcPr>
            <w:tcW w:w="1558" w:type="dxa"/>
          </w:tcPr>
          <w:p w14:paraId="01D0087D" w14:textId="2B870DCA" w:rsidR="003456A0" w:rsidRDefault="00DB5401" w:rsidP="00FE5C5A">
            <w:pPr>
              <w:rPr>
                <w:sz w:val="24"/>
                <w:szCs w:val="24"/>
              </w:rPr>
            </w:pPr>
            <w:r>
              <w:rPr>
                <w:sz w:val="24"/>
                <w:szCs w:val="24"/>
              </w:rPr>
              <w:t>3.7%</w:t>
            </w:r>
          </w:p>
        </w:tc>
        <w:tc>
          <w:tcPr>
            <w:tcW w:w="1558" w:type="dxa"/>
          </w:tcPr>
          <w:p w14:paraId="24E264F9" w14:textId="4B03CA06" w:rsidR="003456A0" w:rsidRDefault="00DB5401" w:rsidP="00FE5C5A">
            <w:pPr>
              <w:rPr>
                <w:sz w:val="24"/>
                <w:szCs w:val="24"/>
              </w:rPr>
            </w:pPr>
            <w:r>
              <w:rPr>
                <w:sz w:val="24"/>
                <w:szCs w:val="24"/>
              </w:rPr>
              <w:t>6.6%</w:t>
            </w:r>
          </w:p>
        </w:tc>
        <w:tc>
          <w:tcPr>
            <w:tcW w:w="1558" w:type="dxa"/>
          </w:tcPr>
          <w:p w14:paraId="1C487BD4" w14:textId="56CE40EA" w:rsidR="003456A0" w:rsidRDefault="00DB5401" w:rsidP="00FE5C5A">
            <w:pPr>
              <w:rPr>
                <w:sz w:val="24"/>
                <w:szCs w:val="24"/>
              </w:rPr>
            </w:pPr>
            <w:r>
              <w:rPr>
                <w:sz w:val="24"/>
                <w:szCs w:val="24"/>
              </w:rPr>
              <w:t>1.6%</w:t>
            </w:r>
          </w:p>
        </w:tc>
        <w:tc>
          <w:tcPr>
            <w:tcW w:w="1559" w:type="dxa"/>
          </w:tcPr>
          <w:p w14:paraId="23C3368E" w14:textId="36283BE0" w:rsidR="003456A0" w:rsidRDefault="00DB5401" w:rsidP="00FE5C5A">
            <w:pPr>
              <w:rPr>
                <w:sz w:val="24"/>
                <w:szCs w:val="24"/>
              </w:rPr>
            </w:pPr>
            <w:r>
              <w:rPr>
                <w:sz w:val="24"/>
                <w:szCs w:val="24"/>
              </w:rPr>
              <w:t>24.8%</w:t>
            </w:r>
          </w:p>
        </w:tc>
        <w:tc>
          <w:tcPr>
            <w:tcW w:w="1559" w:type="dxa"/>
          </w:tcPr>
          <w:p w14:paraId="1310A474" w14:textId="363C4A74" w:rsidR="003456A0" w:rsidRDefault="00DB5401" w:rsidP="00FE5C5A">
            <w:pPr>
              <w:rPr>
                <w:sz w:val="24"/>
                <w:szCs w:val="24"/>
              </w:rPr>
            </w:pPr>
            <w:r>
              <w:rPr>
                <w:sz w:val="24"/>
                <w:szCs w:val="24"/>
              </w:rPr>
              <w:t>19.7%</w:t>
            </w:r>
          </w:p>
        </w:tc>
      </w:tr>
      <w:tr w:rsidR="003456A0" w14:paraId="3AED50FE" w14:textId="77777777" w:rsidTr="003456A0">
        <w:tc>
          <w:tcPr>
            <w:tcW w:w="1558" w:type="dxa"/>
          </w:tcPr>
          <w:p w14:paraId="0B9C69D2" w14:textId="6CD29678" w:rsidR="003456A0" w:rsidRDefault="00DB5401" w:rsidP="00FE5C5A">
            <w:pPr>
              <w:rPr>
                <w:sz w:val="24"/>
                <w:szCs w:val="24"/>
              </w:rPr>
            </w:pPr>
            <w:r>
              <w:rPr>
                <w:sz w:val="24"/>
                <w:szCs w:val="24"/>
              </w:rPr>
              <w:t>Sweden</w:t>
            </w:r>
          </w:p>
        </w:tc>
        <w:tc>
          <w:tcPr>
            <w:tcW w:w="1558" w:type="dxa"/>
          </w:tcPr>
          <w:p w14:paraId="0A9457BD" w14:textId="20737408" w:rsidR="003456A0" w:rsidRDefault="00DB5401" w:rsidP="00FE5C5A">
            <w:pPr>
              <w:rPr>
                <w:sz w:val="24"/>
                <w:szCs w:val="24"/>
              </w:rPr>
            </w:pPr>
            <w:r>
              <w:rPr>
                <w:sz w:val="24"/>
                <w:szCs w:val="24"/>
              </w:rPr>
              <w:t>5.5%</w:t>
            </w:r>
          </w:p>
        </w:tc>
        <w:tc>
          <w:tcPr>
            <w:tcW w:w="1558" w:type="dxa"/>
          </w:tcPr>
          <w:p w14:paraId="77F6A059" w14:textId="6220DB12" w:rsidR="003456A0" w:rsidRDefault="00DB5401" w:rsidP="00FE5C5A">
            <w:pPr>
              <w:rPr>
                <w:sz w:val="24"/>
                <w:szCs w:val="24"/>
              </w:rPr>
            </w:pPr>
            <w:r>
              <w:rPr>
                <w:sz w:val="24"/>
                <w:szCs w:val="24"/>
              </w:rPr>
              <w:t>7.3%</w:t>
            </w:r>
          </w:p>
        </w:tc>
        <w:tc>
          <w:tcPr>
            <w:tcW w:w="1558" w:type="dxa"/>
          </w:tcPr>
          <w:p w14:paraId="4B725EBF" w14:textId="1C25C637" w:rsidR="003456A0" w:rsidRDefault="00DB5401" w:rsidP="00FE5C5A">
            <w:pPr>
              <w:rPr>
                <w:sz w:val="24"/>
                <w:szCs w:val="24"/>
              </w:rPr>
            </w:pPr>
            <w:r>
              <w:rPr>
                <w:sz w:val="24"/>
                <w:szCs w:val="24"/>
              </w:rPr>
              <w:t>7.4%</w:t>
            </w:r>
          </w:p>
        </w:tc>
        <w:tc>
          <w:tcPr>
            <w:tcW w:w="1559" w:type="dxa"/>
          </w:tcPr>
          <w:p w14:paraId="7DA99089" w14:textId="410B1019" w:rsidR="003456A0" w:rsidRDefault="00DB5401" w:rsidP="00FE5C5A">
            <w:pPr>
              <w:rPr>
                <w:sz w:val="24"/>
                <w:szCs w:val="24"/>
              </w:rPr>
            </w:pPr>
            <w:r>
              <w:rPr>
                <w:sz w:val="24"/>
                <w:szCs w:val="24"/>
              </w:rPr>
              <w:t>40.5%</w:t>
            </w:r>
          </w:p>
        </w:tc>
        <w:tc>
          <w:tcPr>
            <w:tcW w:w="1559" w:type="dxa"/>
          </w:tcPr>
          <w:p w14:paraId="6D1ADF16" w14:textId="7046F29B" w:rsidR="003456A0" w:rsidRDefault="00DB5401" w:rsidP="00FE5C5A">
            <w:pPr>
              <w:rPr>
                <w:sz w:val="24"/>
                <w:szCs w:val="24"/>
              </w:rPr>
            </w:pPr>
            <w:r>
              <w:rPr>
                <w:sz w:val="24"/>
                <w:szCs w:val="24"/>
              </w:rPr>
              <w:t>56.3%</w:t>
            </w:r>
          </w:p>
        </w:tc>
      </w:tr>
      <w:tr w:rsidR="003456A0" w14:paraId="0A6510D2" w14:textId="77777777" w:rsidTr="003456A0">
        <w:tc>
          <w:tcPr>
            <w:tcW w:w="1558" w:type="dxa"/>
          </w:tcPr>
          <w:p w14:paraId="3D48FFCF" w14:textId="2A911304" w:rsidR="003456A0" w:rsidRDefault="00DB5401" w:rsidP="00FE5C5A">
            <w:pPr>
              <w:rPr>
                <w:sz w:val="24"/>
                <w:szCs w:val="24"/>
              </w:rPr>
            </w:pPr>
            <w:r>
              <w:rPr>
                <w:sz w:val="24"/>
                <w:szCs w:val="24"/>
              </w:rPr>
              <w:t>France</w:t>
            </w:r>
          </w:p>
        </w:tc>
        <w:tc>
          <w:tcPr>
            <w:tcW w:w="1558" w:type="dxa"/>
          </w:tcPr>
          <w:p w14:paraId="348A7261" w14:textId="0A5E6694" w:rsidR="003456A0" w:rsidRDefault="00DB5401" w:rsidP="00FE5C5A">
            <w:pPr>
              <w:rPr>
                <w:sz w:val="24"/>
                <w:szCs w:val="24"/>
              </w:rPr>
            </w:pPr>
            <w:r>
              <w:rPr>
                <w:sz w:val="24"/>
                <w:szCs w:val="24"/>
              </w:rPr>
              <w:t>2.2%</w:t>
            </w:r>
          </w:p>
        </w:tc>
        <w:tc>
          <w:tcPr>
            <w:tcW w:w="1558" w:type="dxa"/>
          </w:tcPr>
          <w:p w14:paraId="3E52C656" w14:textId="35AA24CF" w:rsidR="003456A0" w:rsidRDefault="00DB5401" w:rsidP="00FE5C5A">
            <w:pPr>
              <w:rPr>
                <w:sz w:val="24"/>
                <w:szCs w:val="24"/>
              </w:rPr>
            </w:pPr>
            <w:r>
              <w:rPr>
                <w:sz w:val="24"/>
                <w:szCs w:val="24"/>
              </w:rPr>
              <w:t>2.8%</w:t>
            </w:r>
          </w:p>
        </w:tc>
        <w:tc>
          <w:tcPr>
            <w:tcW w:w="1558" w:type="dxa"/>
          </w:tcPr>
          <w:p w14:paraId="088F9595" w14:textId="3DCD2177" w:rsidR="003456A0" w:rsidRDefault="00DB5401" w:rsidP="00FE5C5A">
            <w:pPr>
              <w:rPr>
                <w:sz w:val="24"/>
                <w:szCs w:val="24"/>
              </w:rPr>
            </w:pPr>
            <w:r>
              <w:rPr>
                <w:sz w:val="24"/>
                <w:szCs w:val="24"/>
              </w:rPr>
              <w:t>3.4%</w:t>
            </w:r>
          </w:p>
        </w:tc>
        <w:tc>
          <w:tcPr>
            <w:tcW w:w="1559" w:type="dxa"/>
          </w:tcPr>
          <w:p w14:paraId="076A1B6C" w14:textId="28C2C77C" w:rsidR="003456A0" w:rsidRDefault="00DB5401" w:rsidP="00FE5C5A">
            <w:pPr>
              <w:rPr>
                <w:sz w:val="24"/>
                <w:szCs w:val="24"/>
              </w:rPr>
            </w:pPr>
            <w:r>
              <w:rPr>
                <w:sz w:val="24"/>
                <w:szCs w:val="24"/>
              </w:rPr>
              <w:t>11.2%</w:t>
            </w:r>
          </w:p>
        </w:tc>
        <w:tc>
          <w:tcPr>
            <w:tcW w:w="1559" w:type="dxa"/>
          </w:tcPr>
          <w:p w14:paraId="0CAAAABF" w14:textId="052EF082" w:rsidR="003456A0" w:rsidRDefault="00DB5401" w:rsidP="00FE5C5A">
            <w:pPr>
              <w:rPr>
                <w:sz w:val="24"/>
                <w:szCs w:val="24"/>
              </w:rPr>
            </w:pPr>
            <w:r>
              <w:rPr>
                <w:sz w:val="24"/>
                <w:szCs w:val="24"/>
              </w:rPr>
              <w:t>20.1%</w:t>
            </w:r>
          </w:p>
        </w:tc>
      </w:tr>
      <w:tr w:rsidR="003456A0" w14:paraId="63DC9CAF" w14:textId="77777777" w:rsidTr="003456A0">
        <w:tc>
          <w:tcPr>
            <w:tcW w:w="1558" w:type="dxa"/>
          </w:tcPr>
          <w:p w14:paraId="6242FAF0" w14:textId="219730F3" w:rsidR="003456A0" w:rsidRDefault="00DB5401" w:rsidP="00FE5C5A">
            <w:pPr>
              <w:rPr>
                <w:sz w:val="24"/>
                <w:szCs w:val="24"/>
              </w:rPr>
            </w:pPr>
            <w:r>
              <w:rPr>
                <w:sz w:val="24"/>
                <w:szCs w:val="24"/>
              </w:rPr>
              <w:t>UK</w:t>
            </w:r>
          </w:p>
        </w:tc>
        <w:tc>
          <w:tcPr>
            <w:tcW w:w="1558" w:type="dxa"/>
          </w:tcPr>
          <w:p w14:paraId="3EA1C14C" w14:textId="27AAC6ED" w:rsidR="003456A0" w:rsidRDefault="00DB5401" w:rsidP="00FE5C5A">
            <w:pPr>
              <w:rPr>
                <w:sz w:val="24"/>
                <w:szCs w:val="24"/>
              </w:rPr>
            </w:pPr>
            <w:r>
              <w:rPr>
                <w:sz w:val="24"/>
                <w:szCs w:val="24"/>
              </w:rPr>
              <w:t>0.9%</w:t>
            </w:r>
          </w:p>
        </w:tc>
        <w:tc>
          <w:tcPr>
            <w:tcW w:w="1558" w:type="dxa"/>
          </w:tcPr>
          <w:p w14:paraId="5E8160F7" w14:textId="76B9358D" w:rsidR="003456A0" w:rsidRDefault="00DB5401" w:rsidP="00FE5C5A">
            <w:pPr>
              <w:rPr>
                <w:sz w:val="24"/>
                <w:szCs w:val="24"/>
              </w:rPr>
            </w:pPr>
            <w:r>
              <w:rPr>
                <w:sz w:val="24"/>
                <w:szCs w:val="24"/>
              </w:rPr>
              <w:t>1.2%</w:t>
            </w:r>
          </w:p>
        </w:tc>
        <w:tc>
          <w:tcPr>
            <w:tcW w:w="1558" w:type="dxa"/>
          </w:tcPr>
          <w:p w14:paraId="2471D433" w14:textId="6AB6ED74" w:rsidR="003456A0" w:rsidRDefault="00DB5401" w:rsidP="00FE5C5A">
            <w:pPr>
              <w:rPr>
                <w:sz w:val="24"/>
                <w:szCs w:val="24"/>
              </w:rPr>
            </w:pPr>
            <w:r>
              <w:rPr>
                <w:sz w:val="24"/>
                <w:szCs w:val="24"/>
              </w:rPr>
              <w:t>1.6%</w:t>
            </w:r>
          </w:p>
        </w:tc>
        <w:tc>
          <w:tcPr>
            <w:tcW w:w="1559" w:type="dxa"/>
          </w:tcPr>
          <w:p w14:paraId="3DE674A8" w14:textId="07281C1F" w:rsidR="003456A0" w:rsidRDefault="00DB5401" w:rsidP="00FE5C5A">
            <w:pPr>
              <w:rPr>
                <w:sz w:val="24"/>
                <w:szCs w:val="24"/>
              </w:rPr>
            </w:pPr>
            <w:r>
              <w:rPr>
                <w:sz w:val="24"/>
                <w:szCs w:val="24"/>
              </w:rPr>
              <w:t>3.9%</w:t>
            </w:r>
          </w:p>
        </w:tc>
        <w:tc>
          <w:tcPr>
            <w:tcW w:w="1559" w:type="dxa"/>
          </w:tcPr>
          <w:p w14:paraId="4D16197D" w14:textId="06279E14" w:rsidR="003456A0" w:rsidRDefault="00DB5401" w:rsidP="00FE5C5A">
            <w:pPr>
              <w:rPr>
                <w:sz w:val="24"/>
                <w:szCs w:val="24"/>
              </w:rPr>
            </w:pPr>
            <w:r>
              <w:rPr>
                <w:sz w:val="24"/>
                <w:szCs w:val="24"/>
              </w:rPr>
              <w:t>8.4%</w:t>
            </w:r>
          </w:p>
        </w:tc>
      </w:tr>
    </w:tbl>
    <w:p w14:paraId="517E4579" w14:textId="77777777" w:rsidR="003456A0" w:rsidRDefault="003456A0" w:rsidP="00FE5C5A">
      <w:pPr>
        <w:rPr>
          <w:sz w:val="24"/>
          <w:szCs w:val="24"/>
        </w:rPr>
      </w:pPr>
    </w:p>
    <w:p w14:paraId="71FFB843" w14:textId="11B9E1ED" w:rsidR="005657C5" w:rsidRDefault="00DB5401" w:rsidP="00FE5C5A">
      <w:pPr>
        <w:rPr>
          <w:sz w:val="24"/>
          <w:szCs w:val="24"/>
        </w:rPr>
      </w:pPr>
      <w:r>
        <w:rPr>
          <w:sz w:val="24"/>
          <w:szCs w:val="24"/>
        </w:rPr>
        <w:t xml:space="preserve">As the table shows, with one outlying exception (IPSTRGV in Germany), the variables seem to do an acceptable job capturing increased probability of voting for nationalist parties in the most recent wave of the ESS. We believe this indicates, at least to some degree, that these variables are fairly </w:t>
      </w:r>
      <w:r w:rsidR="00E1715B">
        <w:rPr>
          <w:sz w:val="24"/>
          <w:szCs w:val="24"/>
        </w:rPr>
        <w:t>accurate reflections of nationalist attitudes insofar as they correlate with voting for nationalist parties.</w:t>
      </w:r>
    </w:p>
    <w:p w14:paraId="231CE969" w14:textId="27333058" w:rsidR="00E1715B" w:rsidRDefault="00E1715B" w:rsidP="00FE5C5A">
      <w:pPr>
        <w:rPr>
          <w:sz w:val="24"/>
          <w:szCs w:val="24"/>
        </w:rPr>
      </w:pPr>
    </w:p>
    <w:p w14:paraId="71D27995" w14:textId="50045366" w:rsidR="00E1715B" w:rsidRDefault="00E1715B" w:rsidP="00FE5C5A">
      <w:pPr>
        <w:rPr>
          <w:sz w:val="24"/>
          <w:szCs w:val="24"/>
        </w:rPr>
      </w:pPr>
      <w:r>
        <w:rPr>
          <w:sz w:val="24"/>
          <w:szCs w:val="24"/>
        </w:rPr>
        <w:t>While the ESS does not have many questions that deal directly with social democratic attitudes, it does ask one fairly directly correlated question. In the GINCDIF question, respondents are asked how much they agree with the statement that the government should take measures to reduce differences in income levels. We believe this question is a fairly strong indicator of social democratic attitudes, as it captures social democrats’ commitment to economic equality and government action to guarantee this outcome</w:t>
      </w:r>
      <w:r w:rsidR="00CC4CAD">
        <w:rPr>
          <w:rStyle w:val="FootnoteReference"/>
          <w:sz w:val="24"/>
          <w:szCs w:val="24"/>
        </w:rPr>
        <w:footnoteReference w:id="3"/>
      </w:r>
      <w:r>
        <w:rPr>
          <w:sz w:val="24"/>
          <w:szCs w:val="24"/>
        </w:rPr>
        <w:t>. More social democratic oriented voters should place themselves relatively lower on the scale.</w:t>
      </w:r>
    </w:p>
    <w:p w14:paraId="362C4E25" w14:textId="5CBEC4CB" w:rsidR="00E1715B" w:rsidRDefault="00E1715B" w:rsidP="00FE5C5A">
      <w:pPr>
        <w:rPr>
          <w:sz w:val="24"/>
          <w:szCs w:val="24"/>
        </w:rPr>
      </w:pPr>
    </w:p>
    <w:p w14:paraId="3EEB3C58" w14:textId="21EC6A5F" w:rsidR="00E1715B" w:rsidRDefault="00E1715B" w:rsidP="00FE5C5A">
      <w:pPr>
        <w:rPr>
          <w:sz w:val="24"/>
          <w:szCs w:val="24"/>
        </w:rPr>
      </w:pPr>
      <w:r>
        <w:rPr>
          <w:sz w:val="24"/>
          <w:szCs w:val="24"/>
        </w:rPr>
        <w:t>In a similar process to the one described above, we test GINCDIF as a correlate of social democratic party voting (SPD in Germany, Social Democrats in Sweden, Socialists in France, and Labour in the U.K.)</w:t>
      </w:r>
      <w:r w:rsidR="00D80D9E">
        <w:rPr>
          <w:rStyle w:val="FootnoteReference"/>
          <w:sz w:val="24"/>
          <w:szCs w:val="24"/>
        </w:rPr>
        <w:footnoteReference w:id="4"/>
      </w:r>
      <w:r>
        <w:rPr>
          <w:sz w:val="24"/>
          <w:szCs w:val="24"/>
        </w:rPr>
        <w:t xml:space="preserve"> in the most recent wave of the ESS. The results below indicate that, in all of our countries, GINCDIF is a fairly consistently increases the probability of a voter choosing the social democratic party with their legislative vote</w:t>
      </w:r>
      <w:r>
        <w:rPr>
          <w:rStyle w:val="FootnoteReference"/>
          <w:sz w:val="24"/>
          <w:szCs w:val="24"/>
        </w:rPr>
        <w:footnoteReference w:id="5"/>
      </w:r>
      <w:r>
        <w:rPr>
          <w:sz w:val="24"/>
          <w:szCs w:val="24"/>
        </w:rPr>
        <w:t>.</w:t>
      </w:r>
    </w:p>
    <w:p w14:paraId="5B536078" w14:textId="77777777" w:rsidR="005A78E9" w:rsidRDefault="005A78E9" w:rsidP="00FE5C5A">
      <w:pPr>
        <w:rPr>
          <w:i/>
          <w:iCs/>
          <w:sz w:val="24"/>
          <w:szCs w:val="24"/>
          <w:u w:val="single"/>
        </w:rPr>
      </w:pPr>
    </w:p>
    <w:p w14:paraId="263A6047" w14:textId="0148A7A0" w:rsidR="00E1715B" w:rsidRPr="006B11D7" w:rsidRDefault="006B11D7" w:rsidP="00FE5C5A">
      <w:pPr>
        <w:rPr>
          <w:i/>
          <w:iCs/>
          <w:sz w:val="24"/>
          <w:szCs w:val="24"/>
          <w:u w:val="single"/>
        </w:rPr>
      </w:pPr>
      <w:r w:rsidRPr="006B11D7">
        <w:rPr>
          <w:i/>
          <w:iCs/>
          <w:sz w:val="24"/>
          <w:szCs w:val="24"/>
          <w:u w:val="single"/>
        </w:rPr>
        <w:lastRenderedPageBreak/>
        <w:t>Table 2</w:t>
      </w:r>
    </w:p>
    <w:tbl>
      <w:tblPr>
        <w:tblStyle w:val="TableGrid"/>
        <w:tblW w:w="0" w:type="auto"/>
        <w:tblLook w:val="04A0" w:firstRow="1" w:lastRow="0" w:firstColumn="1" w:lastColumn="0" w:noHBand="0" w:noVBand="1"/>
      </w:tblPr>
      <w:tblGrid>
        <w:gridCol w:w="1870"/>
        <w:gridCol w:w="1870"/>
        <w:gridCol w:w="1870"/>
        <w:gridCol w:w="1870"/>
        <w:gridCol w:w="1870"/>
      </w:tblGrid>
      <w:tr w:rsidR="00E1715B" w14:paraId="3C56BCD3" w14:textId="77777777" w:rsidTr="00E1715B">
        <w:tc>
          <w:tcPr>
            <w:tcW w:w="1870" w:type="dxa"/>
          </w:tcPr>
          <w:p w14:paraId="5008BFE3" w14:textId="77777777" w:rsidR="00E1715B" w:rsidRDefault="00E1715B" w:rsidP="00FE5C5A">
            <w:pPr>
              <w:rPr>
                <w:sz w:val="24"/>
                <w:szCs w:val="24"/>
              </w:rPr>
            </w:pPr>
          </w:p>
        </w:tc>
        <w:tc>
          <w:tcPr>
            <w:tcW w:w="1870" w:type="dxa"/>
          </w:tcPr>
          <w:p w14:paraId="7AB64B57" w14:textId="348E8AC0" w:rsidR="00E1715B" w:rsidRDefault="00E1715B" w:rsidP="00FE5C5A">
            <w:pPr>
              <w:rPr>
                <w:sz w:val="24"/>
                <w:szCs w:val="24"/>
              </w:rPr>
            </w:pPr>
            <w:r>
              <w:rPr>
                <w:sz w:val="24"/>
                <w:szCs w:val="24"/>
              </w:rPr>
              <w:t>Germany</w:t>
            </w:r>
          </w:p>
        </w:tc>
        <w:tc>
          <w:tcPr>
            <w:tcW w:w="1870" w:type="dxa"/>
          </w:tcPr>
          <w:p w14:paraId="3E754DAE" w14:textId="43D717F6" w:rsidR="00E1715B" w:rsidRDefault="00E1715B" w:rsidP="00FE5C5A">
            <w:pPr>
              <w:rPr>
                <w:sz w:val="24"/>
                <w:szCs w:val="24"/>
              </w:rPr>
            </w:pPr>
            <w:r>
              <w:rPr>
                <w:sz w:val="24"/>
                <w:szCs w:val="24"/>
              </w:rPr>
              <w:t>Sweden</w:t>
            </w:r>
          </w:p>
        </w:tc>
        <w:tc>
          <w:tcPr>
            <w:tcW w:w="1870" w:type="dxa"/>
          </w:tcPr>
          <w:p w14:paraId="3531D677" w14:textId="5952BA62" w:rsidR="00E1715B" w:rsidRDefault="00E1715B" w:rsidP="00FE5C5A">
            <w:pPr>
              <w:rPr>
                <w:sz w:val="24"/>
                <w:szCs w:val="24"/>
              </w:rPr>
            </w:pPr>
            <w:r>
              <w:rPr>
                <w:sz w:val="24"/>
                <w:szCs w:val="24"/>
              </w:rPr>
              <w:t>France</w:t>
            </w:r>
          </w:p>
        </w:tc>
        <w:tc>
          <w:tcPr>
            <w:tcW w:w="1870" w:type="dxa"/>
          </w:tcPr>
          <w:p w14:paraId="53FD6D4B" w14:textId="6473980D" w:rsidR="00E1715B" w:rsidRDefault="00E1715B" w:rsidP="00FE5C5A">
            <w:pPr>
              <w:rPr>
                <w:sz w:val="24"/>
                <w:szCs w:val="24"/>
              </w:rPr>
            </w:pPr>
            <w:r>
              <w:rPr>
                <w:sz w:val="24"/>
                <w:szCs w:val="24"/>
              </w:rPr>
              <w:t>United Kingdom</w:t>
            </w:r>
          </w:p>
        </w:tc>
      </w:tr>
      <w:tr w:rsidR="00E1715B" w14:paraId="3E91B4A7" w14:textId="77777777" w:rsidTr="00E1715B">
        <w:tc>
          <w:tcPr>
            <w:tcW w:w="1870" w:type="dxa"/>
          </w:tcPr>
          <w:p w14:paraId="6696B7AD" w14:textId="235B6AC9" w:rsidR="00E1715B" w:rsidRDefault="00E1715B" w:rsidP="00FE5C5A">
            <w:pPr>
              <w:rPr>
                <w:sz w:val="24"/>
                <w:szCs w:val="24"/>
              </w:rPr>
            </w:pPr>
            <w:r>
              <w:rPr>
                <w:sz w:val="24"/>
                <w:szCs w:val="24"/>
              </w:rPr>
              <w:t>Base Probability</w:t>
            </w:r>
          </w:p>
        </w:tc>
        <w:tc>
          <w:tcPr>
            <w:tcW w:w="1870" w:type="dxa"/>
          </w:tcPr>
          <w:p w14:paraId="3F115D8F" w14:textId="507D8B89" w:rsidR="00E1715B" w:rsidRDefault="00866975" w:rsidP="00FE5C5A">
            <w:pPr>
              <w:rPr>
                <w:sz w:val="24"/>
                <w:szCs w:val="24"/>
              </w:rPr>
            </w:pPr>
            <w:r>
              <w:rPr>
                <w:sz w:val="24"/>
                <w:szCs w:val="24"/>
              </w:rPr>
              <w:t>11.4%</w:t>
            </w:r>
          </w:p>
        </w:tc>
        <w:tc>
          <w:tcPr>
            <w:tcW w:w="1870" w:type="dxa"/>
          </w:tcPr>
          <w:p w14:paraId="183F1E81" w14:textId="7BB59336" w:rsidR="00E1715B" w:rsidRDefault="00866975" w:rsidP="00FE5C5A">
            <w:pPr>
              <w:rPr>
                <w:sz w:val="24"/>
                <w:szCs w:val="24"/>
              </w:rPr>
            </w:pPr>
            <w:r>
              <w:rPr>
                <w:sz w:val="24"/>
                <w:szCs w:val="24"/>
              </w:rPr>
              <w:t>9.7%</w:t>
            </w:r>
          </w:p>
        </w:tc>
        <w:tc>
          <w:tcPr>
            <w:tcW w:w="1870" w:type="dxa"/>
          </w:tcPr>
          <w:p w14:paraId="4881EF63" w14:textId="08F50623" w:rsidR="00E1715B" w:rsidRDefault="00866975" w:rsidP="00FE5C5A">
            <w:pPr>
              <w:rPr>
                <w:sz w:val="24"/>
                <w:szCs w:val="24"/>
              </w:rPr>
            </w:pPr>
            <w:r>
              <w:rPr>
                <w:sz w:val="24"/>
                <w:szCs w:val="24"/>
              </w:rPr>
              <w:t>5.4%</w:t>
            </w:r>
          </w:p>
        </w:tc>
        <w:tc>
          <w:tcPr>
            <w:tcW w:w="1870" w:type="dxa"/>
          </w:tcPr>
          <w:p w14:paraId="3BC98F78" w14:textId="73625101" w:rsidR="00E1715B" w:rsidRDefault="00866975" w:rsidP="00FE5C5A">
            <w:pPr>
              <w:rPr>
                <w:sz w:val="24"/>
                <w:szCs w:val="24"/>
              </w:rPr>
            </w:pPr>
            <w:r>
              <w:rPr>
                <w:sz w:val="24"/>
                <w:szCs w:val="24"/>
              </w:rPr>
              <w:t>17.7%</w:t>
            </w:r>
          </w:p>
        </w:tc>
      </w:tr>
      <w:tr w:rsidR="00E1715B" w14:paraId="667AF282" w14:textId="77777777" w:rsidTr="00E1715B">
        <w:tc>
          <w:tcPr>
            <w:tcW w:w="1870" w:type="dxa"/>
          </w:tcPr>
          <w:p w14:paraId="76CC3E23" w14:textId="2F8A9FBF" w:rsidR="00E1715B" w:rsidRDefault="00866975" w:rsidP="00FE5C5A">
            <w:pPr>
              <w:rPr>
                <w:sz w:val="24"/>
                <w:szCs w:val="24"/>
              </w:rPr>
            </w:pPr>
            <w:r>
              <w:rPr>
                <w:sz w:val="24"/>
                <w:szCs w:val="24"/>
              </w:rPr>
              <w:t>GINCDIF</w:t>
            </w:r>
          </w:p>
        </w:tc>
        <w:tc>
          <w:tcPr>
            <w:tcW w:w="1870" w:type="dxa"/>
          </w:tcPr>
          <w:p w14:paraId="1478ABE5" w14:textId="609B95F0" w:rsidR="00E1715B" w:rsidRDefault="00866975" w:rsidP="00FE5C5A">
            <w:pPr>
              <w:rPr>
                <w:sz w:val="24"/>
                <w:szCs w:val="24"/>
              </w:rPr>
            </w:pPr>
            <w:r>
              <w:rPr>
                <w:sz w:val="24"/>
                <w:szCs w:val="24"/>
              </w:rPr>
              <w:t>16.4%</w:t>
            </w:r>
          </w:p>
        </w:tc>
        <w:tc>
          <w:tcPr>
            <w:tcW w:w="1870" w:type="dxa"/>
          </w:tcPr>
          <w:p w14:paraId="7467284F" w14:textId="2B8B8B26" w:rsidR="00E1715B" w:rsidRDefault="00866975" w:rsidP="00FE5C5A">
            <w:pPr>
              <w:rPr>
                <w:sz w:val="24"/>
                <w:szCs w:val="24"/>
              </w:rPr>
            </w:pPr>
            <w:r>
              <w:rPr>
                <w:sz w:val="24"/>
                <w:szCs w:val="24"/>
              </w:rPr>
              <w:t>33.5%</w:t>
            </w:r>
          </w:p>
        </w:tc>
        <w:tc>
          <w:tcPr>
            <w:tcW w:w="1870" w:type="dxa"/>
          </w:tcPr>
          <w:p w14:paraId="348260C7" w14:textId="3761B9A5" w:rsidR="00E1715B" w:rsidRDefault="00866975" w:rsidP="00FE5C5A">
            <w:pPr>
              <w:rPr>
                <w:sz w:val="24"/>
                <w:szCs w:val="24"/>
              </w:rPr>
            </w:pPr>
            <w:r>
              <w:rPr>
                <w:sz w:val="24"/>
                <w:szCs w:val="24"/>
              </w:rPr>
              <w:t>8.3%</w:t>
            </w:r>
          </w:p>
        </w:tc>
        <w:tc>
          <w:tcPr>
            <w:tcW w:w="1870" w:type="dxa"/>
          </w:tcPr>
          <w:p w14:paraId="08C7725C" w14:textId="0BDFCD50" w:rsidR="00E1715B" w:rsidRDefault="00866975" w:rsidP="00FE5C5A">
            <w:pPr>
              <w:rPr>
                <w:sz w:val="24"/>
                <w:szCs w:val="24"/>
              </w:rPr>
            </w:pPr>
            <w:r>
              <w:rPr>
                <w:sz w:val="24"/>
                <w:szCs w:val="24"/>
              </w:rPr>
              <w:t>29.8%</w:t>
            </w:r>
          </w:p>
        </w:tc>
      </w:tr>
    </w:tbl>
    <w:p w14:paraId="5669948B" w14:textId="23D42E09" w:rsidR="00E1715B" w:rsidRDefault="00E1715B" w:rsidP="00FE5C5A">
      <w:pPr>
        <w:rPr>
          <w:sz w:val="24"/>
          <w:szCs w:val="24"/>
        </w:rPr>
      </w:pPr>
    </w:p>
    <w:p w14:paraId="1DF6DD0C" w14:textId="6DB26E7E" w:rsidR="00866975" w:rsidRDefault="00866975" w:rsidP="00FE5C5A">
      <w:pPr>
        <w:rPr>
          <w:sz w:val="24"/>
          <w:szCs w:val="24"/>
        </w:rPr>
      </w:pPr>
      <w:r>
        <w:rPr>
          <w:sz w:val="24"/>
          <w:szCs w:val="24"/>
        </w:rPr>
        <w:t>Our main dependent variable for this study is self-reported turnout in the previous election. Drawn from the VOTE variable from ESS, we rescale the variable so that 0 represents abstention, and 1 represents a vote. Ineligible voters, or those who refused or failed to respond to the question are excluded from the analysis.</w:t>
      </w:r>
    </w:p>
    <w:p w14:paraId="7145C4DE" w14:textId="1C9E6479" w:rsidR="00554D28" w:rsidRDefault="00554D28" w:rsidP="00FE5C5A">
      <w:pPr>
        <w:rPr>
          <w:sz w:val="24"/>
          <w:szCs w:val="24"/>
        </w:rPr>
      </w:pPr>
    </w:p>
    <w:p w14:paraId="280BEDD6" w14:textId="07CD995B" w:rsidR="00554D28" w:rsidRDefault="00554D28" w:rsidP="00FE5C5A">
      <w:pPr>
        <w:rPr>
          <w:sz w:val="24"/>
          <w:szCs w:val="24"/>
        </w:rPr>
      </w:pPr>
      <w:r>
        <w:rPr>
          <w:sz w:val="24"/>
          <w:szCs w:val="24"/>
        </w:rPr>
        <w:t xml:space="preserve">In this study, we are interested in testing </w:t>
      </w:r>
      <w:r w:rsidR="00D80D9E">
        <w:rPr>
          <w:sz w:val="24"/>
          <w:szCs w:val="24"/>
        </w:rPr>
        <w:t>2</w:t>
      </w:r>
      <w:r>
        <w:rPr>
          <w:sz w:val="24"/>
          <w:szCs w:val="24"/>
        </w:rPr>
        <w:t xml:space="preserve"> hypotheses. First, we believe that over time, </w:t>
      </w:r>
      <w:r w:rsidR="00D80D9E">
        <w:rPr>
          <w:sz w:val="24"/>
          <w:szCs w:val="24"/>
        </w:rPr>
        <w:t xml:space="preserve">voters with nationalist attitudes </w:t>
      </w:r>
      <w:r>
        <w:rPr>
          <w:sz w:val="24"/>
          <w:szCs w:val="24"/>
        </w:rPr>
        <w:t>have become more likely to vote.</w:t>
      </w:r>
      <w:r w:rsidR="00D80D9E">
        <w:rPr>
          <w:sz w:val="24"/>
          <w:szCs w:val="24"/>
        </w:rPr>
        <w:t xml:space="preserve"> Thus:</w:t>
      </w:r>
    </w:p>
    <w:p w14:paraId="59D98C62" w14:textId="182B0DED" w:rsidR="00554D28" w:rsidRDefault="00554D28" w:rsidP="00FE5C5A">
      <w:pPr>
        <w:rPr>
          <w:sz w:val="24"/>
          <w:szCs w:val="24"/>
        </w:rPr>
      </w:pPr>
      <w:r>
        <w:rPr>
          <w:sz w:val="24"/>
          <w:szCs w:val="24"/>
        </w:rPr>
        <w:t xml:space="preserve">H1: </w:t>
      </w:r>
      <w:r w:rsidR="00D80D9E">
        <w:rPr>
          <w:sz w:val="24"/>
          <w:szCs w:val="24"/>
        </w:rPr>
        <w:t>From the first to the ninth wave of the ESS</w:t>
      </w:r>
      <w:r>
        <w:rPr>
          <w:sz w:val="24"/>
          <w:szCs w:val="24"/>
        </w:rPr>
        <w:t>, the predicted probability of those with nationalist attitudes turning out to vote should go up.</w:t>
      </w:r>
    </w:p>
    <w:p w14:paraId="017EA62A" w14:textId="060DED9C" w:rsidR="00D80D9E" w:rsidRDefault="00D80D9E" w:rsidP="00FE5C5A">
      <w:pPr>
        <w:rPr>
          <w:sz w:val="24"/>
          <w:szCs w:val="24"/>
        </w:rPr>
      </w:pPr>
      <w:r>
        <w:rPr>
          <w:sz w:val="24"/>
          <w:szCs w:val="24"/>
        </w:rPr>
        <w:t>Second, we believe that over time voters with social democratic attitudes have become less likely to vote. Thus:</w:t>
      </w:r>
    </w:p>
    <w:p w14:paraId="2BCBCA70" w14:textId="0AA9FC0F" w:rsidR="00554D28" w:rsidRDefault="00D80D9E" w:rsidP="00FE5C5A">
      <w:pPr>
        <w:rPr>
          <w:sz w:val="24"/>
          <w:szCs w:val="24"/>
        </w:rPr>
      </w:pPr>
      <w:r>
        <w:rPr>
          <w:sz w:val="24"/>
          <w:szCs w:val="24"/>
        </w:rPr>
        <w:t>H2: From the first to the ninth wave of the ESS, the predicted probability of those with nationalist attitudes turning out to vote should go up.</w:t>
      </w:r>
    </w:p>
    <w:p w14:paraId="295B8FD5" w14:textId="38A9B8F8" w:rsidR="00866975" w:rsidRDefault="00866975" w:rsidP="00FE5C5A">
      <w:pPr>
        <w:rPr>
          <w:sz w:val="24"/>
          <w:szCs w:val="24"/>
        </w:rPr>
      </w:pPr>
    </w:p>
    <w:p w14:paraId="6229CCB8" w14:textId="46F78D16" w:rsidR="00866975" w:rsidRDefault="00866975" w:rsidP="00FE5C5A">
      <w:pPr>
        <w:rPr>
          <w:sz w:val="24"/>
          <w:szCs w:val="24"/>
        </w:rPr>
      </w:pPr>
      <w:r>
        <w:rPr>
          <w:sz w:val="24"/>
          <w:szCs w:val="24"/>
        </w:rPr>
        <w:t xml:space="preserve">For our analysis, in each of the four countries in each of the waves of the ESS (1 through 9) we estimate a logistic regression, with VOTE as our dependent variable, and IMPTRAD, IPSTRGV, IMUECLT, and GINCDIF as our </w:t>
      </w:r>
      <w:r w:rsidR="00CC4CAD">
        <w:rPr>
          <w:sz w:val="24"/>
          <w:szCs w:val="24"/>
        </w:rPr>
        <w:t>key independent variables</w:t>
      </w:r>
      <w:r w:rsidR="00CC4CAD">
        <w:rPr>
          <w:rStyle w:val="FootnoteReference"/>
          <w:sz w:val="24"/>
          <w:szCs w:val="24"/>
        </w:rPr>
        <w:footnoteReference w:id="6"/>
      </w:r>
      <w:r w:rsidR="00CC4CAD">
        <w:rPr>
          <w:sz w:val="24"/>
          <w:szCs w:val="24"/>
        </w:rPr>
        <w:t>.</w:t>
      </w:r>
      <w:r w:rsidR="003E30EF">
        <w:rPr>
          <w:sz w:val="24"/>
          <w:szCs w:val="24"/>
        </w:rPr>
        <w:t xml:space="preserve"> After getting our results, we estimate a predicted probability for each of the variables of interest across its possible values</w:t>
      </w:r>
      <w:r w:rsidR="00D80D9E">
        <w:rPr>
          <w:sz w:val="24"/>
          <w:szCs w:val="24"/>
        </w:rPr>
        <w:t>,</w:t>
      </w:r>
      <w:r w:rsidR="003E30EF">
        <w:rPr>
          <w:sz w:val="24"/>
          <w:szCs w:val="24"/>
        </w:rPr>
        <w:t xml:space="preserve"> with the other variables in the model held constant at their mean value. In the tables and charts below, we present these values across time, from the first wave to the ninth wave, for each country.</w:t>
      </w:r>
      <w:r w:rsidR="00554D28">
        <w:rPr>
          <w:sz w:val="24"/>
          <w:szCs w:val="24"/>
        </w:rPr>
        <w:t xml:space="preserve"> We conclude the analysis section with a brief discussion of a supplemental predicted probability</w:t>
      </w:r>
      <w:r w:rsidR="00D80D9E">
        <w:rPr>
          <w:sz w:val="24"/>
          <w:szCs w:val="24"/>
        </w:rPr>
        <w:t xml:space="preserve"> estimate</w:t>
      </w:r>
      <w:r w:rsidR="00554D28">
        <w:rPr>
          <w:sz w:val="24"/>
          <w:szCs w:val="24"/>
        </w:rPr>
        <w:t>, that for a voter with high nationalist scores on all three of our nationalist indicators.</w:t>
      </w:r>
    </w:p>
    <w:p w14:paraId="6A7649C5" w14:textId="77777777" w:rsidR="005A78E9" w:rsidRDefault="005A78E9" w:rsidP="00FE5C5A">
      <w:pPr>
        <w:rPr>
          <w:b/>
          <w:bCs/>
          <w:sz w:val="24"/>
          <w:szCs w:val="24"/>
        </w:rPr>
      </w:pPr>
    </w:p>
    <w:p w14:paraId="28533971" w14:textId="77777777" w:rsidR="005A78E9" w:rsidRDefault="005A78E9" w:rsidP="00FE5C5A">
      <w:pPr>
        <w:rPr>
          <w:b/>
          <w:bCs/>
          <w:sz w:val="24"/>
          <w:szCs w:val="24"/>
        </w:rPr>
      </w:pPr>
    </w:p>
    <w:p w14:paraId="009956F7" w14:textId="77777777" w:rsidR="005A78E9" w:rsidRDefault="005A78E9" w:rsidP="00FE5C5A">
      <w:pPr>
        <w:rPr>
          <w:b/>
          <w:bCs/>
          <w:sz w:val="24"/>
          <w:szCs w:val="24"/>
        </w:rPr>
      </w:pPr>
    </w:p>
    <w:p w14:paraId="43D94B6F" w14:textId="15A9E1A7" w:rsidR="00BD2199" w:rsidRDefault="00BD2199" w:rsidP="00FE5C5A">
      <w:pPr>
        <w:rPr>
          <w:b/>
          <w:bCs/>
          <w:sz w:val="24"/>
          <w:szCs w:val="24"/>
        </w:rPr>
      </w:pPr>
      <w:r w:rsidRPr="005657C5">
        <w:rPr>
          <w:b/>
          <w:bCs/>
          <w:sz w:val="24"/>
          <w:szCs w:val="24"/>
        </w:rPr>
        <w:lastRenderedPageBreak/>
        <w:t>5. Analysis</w:t>
      </w:r>
    </w:p>
    <w:p w14:paraId="314285AF" w14:textId="1E80CAEB" w:rsidR="005A78E9" w:rsidRPr="005A78E9" w:rsidRDefault="005A78E9" w:rsidP="00FE5C5A">
      <w:pPr>
        <w:rPr>
          <w:sz w:val="24"/>
          <w:szCs w:val="24"/>
        </w:rPr>
      </w:pPr>
      <w:r>
        <w:rPr>
          <w:sz w:val="24"/>
          <w:szCs w:val="24"/>
        </w:rPr>
        <w:t xml:space="preserve">Tables 3, 4 and 5 </w:t>
      </w:r>
      <w:r w:rsidR="003C2E4F">
        <w:rPr>
          <w:sz w:val="24"/>
          <w:szCs w:val="24"/>
        </w:rPr>
        <w:t xml:space="preserve">and Figures 2, 3, and </w:t>
      </w:r>
      <w:r w:rsidR="00362BAC">
        <w:rPr>
          <w:sz w:val="24"/>
          <w:szCs w:val="24"/>
        </w:rPr>
        <w:t>4</w:t>
      </w:r>
      <w:r w:rsidR="003C2E4F">
        <w:rPr>
          <w:sz w:val="24"/>
          <w:szCs w:val="24"/>
        </w:rPr>
        <w:t xml:space="preserve"> </w:t>
      </w:r>
      <w:r>
        <w:rPr>
          <w:sz w:val="24"/>
          <w:szCs w:val="24"/>
        </w:rPr>
        <w:t>below present the predicted probability estimates of showing up to vote for a voter with a self-placement of 1 on the nationalist indicating variable of interest (IMPTRAD, IPSTRGV, and IMUECLT), while holding all other variables at their mean values. Because the logistic model results are not presented directly here, for each country we also present the statistical significance estimate for each variable in each model year in the second column for each country. Thus, for the IMPTRAD table, the variable has a statistically significant impact on the predicted probability of voting in the United Kingdom and Germany, but misses statistical significance in Sweden and France. The full p-values are presented here for convenience; our hypotheses, however, are not dependent on whether the results of the logistic model are significant</w:t>
      </w:r>
      <w:r>
        <w:rPr>
          <w:rStyle w:val="FootnoteReference"/>
          <w:sz w:val="24"/>
          <w:szCs w:val="24"/>
        </w:rPr>
        <w:footnoteReference w:id="7"/>
      </w:r>
      <w:r>
        <w:rPr>
          <w:sz w:val="24"/>
          <w:szCs w:val="24"/>
        </w:rPr>
        <w:t>.</w:t>
      </w:r>
    </w:p>
    <w:p w14:paraId="52393D3D" w14:textId="77C0A803" w:rsidR="00C60C48" w:rsidRDefault="00C60C48" w:rsidP="00FE5C5A">
      <w:pPr>
        <w:rPr>
          <w:sz w:val="24"/>
          <w:szCs w:val="24"/>
        </w:rPr>
      </w:pPr>
    </w:p>
    <w:p w14:paraId="34FA7B4B" w14:textId="30EB01C5" w:rsidR="003C2E4F" w:rsidRDefault="003C2E4F" w:rsidP="00FE5C5A">
      <w:pPr>
        <w:rPr>
          <w:sz w:val="24"/>
          <w:szCs w:val="24"/>
        </w:rPr>
      </w:pPr>
      <w:r>
        <w:rPr>
          <w:sz w:val="24"/>
          <w:szCs w:val="24"/>
        </w:rPr>
        <w:t>For IMPTRAD, IPSTRGV, and IMUECLT, in the United Kingdom, Sweden and Germany, the predicted probability of voting with a high similarity score on the variable in question increases between 2002 and 2018, though the relationship is far from linear. Maybe more importantly, the probability of voting actually peaks in the most recent year for nationalist voters. While the indicators are muddied in the middle across the cases, by the middle of the 2010s there appears to be a quite consistent increase in probability to vote for nationalist voters.</w:t>
      </w:r>
    </w:p>
    <w:p w14:paraId="42AFAD6C" w14:textId="689CCD51" w:rsidR="003C2E4F" w:rsidRDefault="003C2E4F" w:rsidP="00FE5C5A">
      <w:pPr>
        <w:rPr>
          <w:sz w:val="24"/>
          <w:szCs w:val="24"/>
        </w:rPr>
      </w:pPr>
    </w:p>
    <w:p w14:paraId="627D8865" w14:textId="0A679529" w:rsidR="003C2E4F" w:rsidRPr="003C2E4F" w:rsidRDefault="003C2E4F" w:rsidP="00FE5C5A">
      <w:pPr>
        <w:rPr>
          <w:sz w:val="24"/>
          <w:szCs w:val="24"/>
        </w:rPr>
      </w:pPr>
      <w:r>
        <w:rPr>
          <w:sz w:val="24"/>
          <w:szCs w:val="24"/>
        </w:rPr>
        <w:t>In France, the result is much less clear. On each of our three indicators, the predicted probability peaks in the 5</w:t>
      </w:r>
      <w:r w:rsidRPr="003C2E4F">
        <w:rPr>
          <w:sz w:val="24"/>
          <w:szCs w:val="24"/>
          <w:vertAlign w:val="superscript"/>
        </w:rPr>
        <w:t>th</w:t>
      </w:r>
      <w:r>
        <w:rPr>
          <w:sz w:val="24"/>
          <w:szCs w:val="24"/>
        </w:rPr>
        <w:t xml:space="preserve"> or 6</w:t>
      </w:r>
      <w:r w:rsidRPr="003C2E4F">
        <w:rPr>
          <w:sz w:val="24"/>
          <w:szCs w:val="24"/>
          <w:vertAlign w:val="superscript"/>
        </w:rPr>
        <w:t>th</w:t>
      </w:r>
      <w:r>
        <w:rPr>
          <w:sz w:val="24"/>
          <w:szCs w:val="24"/>
        </w:rPr>
        <w:t xml:space="preserve"> wave of the ESS (around 2010-2012) before declining rather precipitously. On the one hand, this should perhaps be expected, as overall turnout in French elections over this period </w:t>
      </w:r>
      <w:r>
        <w:rPr>
          <w:i/>
          <w:iCs/>
          <w:sz w:val="24"/>
          <w:szCs w:val="24"/>
        </w:rPr>
        <w:t xml:space="preserve">also </w:t>
      </w:r>
      <w:r>
        <w:rPr>
          <w:sz w:val="24"/>
          <w:szCs w:val="24"/>
        </w:rPr>
        <w:t>declines precipitously</w:t>
      </w:r>
      <w:r w:rsidR="00362BAC">
        <w:rPr>
          <w:sz w:val="24"/>
          <w:szCs w:val="24"/>
        </w:rPr>
        <w:t xml:space="preserve"> (see Figure 1)</w:t>
      </w:r>
      <w:r>
        <w:rPr>
          <w:sz w:val="24"/>
          <w:szCs w:val="24"/>
        </w:rPr>
        <w:t xml:space="preserve">. Notably, we see a matching decline in probability of voting among those who score highly on our social democratic attitudes-indicating variable, GINCDIF (see </w:t>
      </w:r>
      <w:r w:rsidR="00362BAC">
        <w:rPr>
          <w:sz w:val="24"/>
          <w:szCs w:val="24"/>
        </w:rPr>
        <w:t>Table 6 and Figure 5). On the other hand, declining turnout in general is at least in part likely a product of declining propensity to vote among nationalists; and very notably, those with social democratic attitudes saw a huge increase in their probability of voting in the 9</w:t>
      </w:r>
      <w:r w:rsidR="00362BAC" w:rsidRPr="00362BAC">
        <w:rPr>
          <w:sz w:val="24"/>
          <w:szCs w:val="24"/>
          <w:vertAlign w:val="superscript"/>
        </w:rPr>
        <w:t>th</w:t>
      </w:r>
      <w:r w:rsidR="00362BAC">
        <w:rPr>
          <w:sz w:val="24"/>
          <w:szCs w:val="24"/>
        </w:rPr>
        <w:t xml:space="preserve"> wave, contrary to what we see among nationalists.</w:t>
      </w:r>
    </w:p>
    <w:p w14:paraId="2C66E240" w14:textId="77777777" w:rsidR="00C60C48" w:rsidRDefault="00C60C48" w:rsidP="00FE5C5A">
      <w:pPr>
        <w:rPr>
          <w:sz w:val="24"/>
          <w:szCs w:val="24"/>
        </w:rPr>
      </w:pPr>
    </w:p>
    <w:p w14:paraId="33268AFD" w14:textId="00791F2E" w:rsidR="00C60C48" w:rsidRDefault="000B7940" w:rsidP="00FE5C5A">
      <w:pPr>
        <w:rPr>
          <w:sz w:val="24"/>
          <w:szCs w:val="24"/>
        </w:rPr>
      </w:pPr>
      <w:r>
        <w:rPr>
          <w:sz w:val="24"/>
          <w:szCs w:val="24"/>
        </w:rPr>
        <w:t>We find generally similar results when we generate predicted probability of voting for individuals with high nationalist leanings on all three of our nationalism variables. In Table 7, we see a somewhat more consistent pattern in the U.K., France and Sweden – after a drop in probability around wave 4 or 5 (2008-2010), nationalists see a relatively strong upswing in probability to vote that, for all three countries, peaks in the most recent 9</w:t>
      </w:r>
      <w:r w:rsidRPr="000B7940">
        <w:rPr>
          <w:sz w:val="24"/>
          <w:szCs w:val="24"/>
          <w:vertAlign w:val="superscript"/>
        </w:rPr>
        <w:t>th</w:t>
      </w:r>
      <w:r>
        <w:rPr>
          <w:sz w:val="24"/>
          <w:szCs w:val="24"/>
        </w:rPr>
        <w:t xml:space="preserve"> wave (2018), with </w:t>
      </w:r>
      <w:r>
        <w:rPr>
          <w:sz w:val="24"/>
          <w:szCs w:val="24"/>
        </w:rPr>
        <w:lastRenderedPageBreak/>
        <w:t>the second highest probability of voting coming in the 8</w:t>
      </w:r>
      <w:r w:rsidRPr="000B7940">
        <w:rPr>
          <w:sz w:val="24"/>
          <w:szCs w:val="24"/>
          <w:vertAlign w:val="superscript"/>
        </w:rPr>
        <w:t>th</w:t>
      </w:r>
      <w:r>
        <w:rPr>
          <w:sz w:val="24"/>
          <w:szCs w:val="24"/>
        </w:rPr>
        <w:t xml:space="preserve"> wave (2016) in Germany and the United Kingdom. France remains an outlier, with predicted probability of voting for these stronger nationalists peaking in Wave 4 before diminishing. Important context is added here, however: the predicted probability for an average French respondent to vote declines substantially (over 12 percentage points) between the 6</w:t>
      </w:r>
      <w:r w:rsidRPr="000B7940">
        <w:rPr>
          <w:sz w:val="24"/>
          <w:szCs w:val="24"/>
          <w:vertAlign w:val="superscript"/>
        </w:rPr>
        <w:t>th</w:t>
      </w:r>
      <w:r>
        <w:rPr>
          <w:sz w:val="24"/>
          <w:szCs w:val="24"/>
        </w:rPr>
        <w:t xml:space="preserve"> and 9</w:t>
      </w:r>
      <w:r w:rsidRPr="000B7940">
        <w:rPr>
          <w:sz w:val="24"/>
          <w:szCs w:val="24"/>
          <w:vertAlign w:val="superscript"/>
        </w:rPr>
        <w:t>th</w:t>
      </w:r>
      <w:r>
        <w:rPr>
          <w:sz w:val="24"/>
          <w:szCs w:val="24"/>
        </w:rPr>
        <w:t xml:space="preserve"> waves, while for our highly nationalist voters, the corresponding rate is just 6 percentage points. So while the nationalists do not appear to be more likely to vote than in the past, they still may represent an increasingly disproportionately large </w:t>
      </w:r>
      <w:r w:rsidR="00604B19">
        <w:rPr>
          <w:sz w:val="24"/>
          <w:szCs w:val="24"/>
        </w:rPr>
        <w:t xml:space="preserve">section of the electorate. </w:t>
      </w:r>
    </w:p>
    <w:p w14:paraId="41ADDCC3" w14:textId="45FAEF65" w:rsidR="00604B19" w:rsidRDefault="00604B19" w:rsidP="00FE5C5A">
      <w:pPr>
        <w:rPr>
          <w:sz w:val="24"/>
          <w:szCs w:val="24"/>
        </w:rPr>
      </w:pPr>
    </w:p>
    <w:p w14:paraId="20E61AE4" w14:textId="77777777" w:rsidR="00604B19" w:rsidRDefault="00604B19" w:rsidP="00FE5C5A">
      <w:pPr>
        <w:rPr>
          <w:sz w:val="24"/>
          <w:szCs w:val="24"/>
        </w:rPr>
      </w:pPr>
      <w:r>
        <w:rPr>
          <w:sz w:val="24"/>
          <w:szCs w:val="24"/>
        </w:rPr>
        <w:t>These results, while mixed, we believe support our contention that there is an increase in the propensity to vote among those with nationalist leanings on the three indicators we are tracking. If we believe these correlate with increased likelihood to vote for radical right nationalist parties, as we demonstrated in Tables 1 and 2, we believe this is indicative that increased turnout among those with nationalist attitudes is at least part of the story of the emerging electoral success of radical right parties in Europe in the latter half of the 2010s.</w:t>
      </w:r>
    </w:p>
    <w:p w14:paraId="11255601" w14:textId="77777777" w:rsidR="00604B19" w:rsidRDefault="00604B19" w:rsidP="00FE5C5A">
      <w:pPr>
        <w:rPr>
          <w:sz w:val="24"/>
          <w:szCs w:val="24"/>
        </w:rPr>
      </w:pPr>
    </w:p>
    <w:p w14:paraId="46BED0BB" w14:textId="41BA8CEB" w:rsidR="00604B19" w:rsidRDefault="00604B19" w:rsidP="00FE5C5A">
      <w:pPr>
        <w:rPr>
          <w:sz w:val="24"/>
          <w:szCs w:val="24"/>
        </w:rPr>
      </w:pPr>
      <w:r>
        <w:rPr>
          <w:sz w:val="24"/>
          <w:szCs w:val="24"/>
        </w:rPr>
        <w:t xml:space="preserve">In testing for our other hypothesis, that social democratic voters are less likely to turn up now than in the past, we find no support. While those with social democratic leanings did seem increasingly less likely to show up to vote in the United Kingdom and Germany between wave 1 (2002) and wave 6 (2012), that pattern reversed entirely, and social democratic probability to vote actually peaked in both countries in Wave 9. As nationalist attitudes and social democratic attitudes are not necessarily mutually exclusive, its entirely possible these mechanisms are feeding into each other, as Finseras and Vernby (2014) suggest. It could be that the number of social democratic voters is declining (Benedetto et al 2019), </w:t>
      </w:r>
      <w:r w:rsidR="008870E5">
        <w:rPr>
          <w:sz w:val="24"/>
          <w:szCs w:val="24"/>
        </w:rPr>
        <w:t>but it seems equally plausible that traditional social democratic parties face a mobilization problem, rather than any there being any decline in those who support social democratic policy positions.</w:t>
      </w:r>
    </w:p>
    <w:p w14:paraId="19BC3366" w14:textId="77777777" w:rsidR="00C60C48" w:rsidRDefault="00C60C48" w:rsidP="00FE5C5A">
      <w:pPr>
        <w:rPr>
          <w:sz w:val="24"/>
          <w:szCs w:val="24"/>
        </w:rPr>
      </w:pPr>
    </w:p>
    <w:p w14:paraId="537FD7A4" w14:textId="77777777" w:rsidR="00C60C48" w:rsidRDefault="00C60C48" w:rsidP="00FE5C5A">
      <w:pPr>
        <w:rPr>
          <w:sz w:val="24"/>
          <w:szCs w:val="24"/>
        </w:rPr>
      </w:pPr>
    </w:p>
    <w:p w14:paraId="60883C55" w14:textId="77777777" w:rsidR="00C60C48" w:rsidRDefault="00C60C48" w:rsidP="00FE5C5A">
      <w:pPr>
        <w:rPr>
          <w:sz w:val="24"/>
          <w:szCs w:val="24"/>
        </w:rPr>
      </w:pPr>
    </w:p>
    <w:p w14:paraId="67C3876C" w14:textId="77777777" w:rsidR="00C60C48" w:rsidRDefault="00C60C48" w:rsidP="00FE5C5A">
      <w:pPr>
        <w:rPr>
          <w:sz w:val="24"/>
          <w:szCs w:val="24"/>
        </w:rPr>
      </w:pPr>
    </w:p>
    <w:p w14:paraId="516F5F92" w14:textId="77777777" w:rsidR="00C60C48" w:rsidRDefault="00C60C48" w:rsidP="00FE5C5A">
      <w:pPr>
        <w:rPr>
          <w:sz w:val="24"/>
          <w:szCs w:val="24"/>
        </w:rPr>
      </w:pPr>
    </w:p>
    <w:p w14:paraId="2C04CF7E" w14:textId="77777777" w:rsidR="00C60C48" w:rsidRDefault="00C60C48" w:rsidP="00FE5C5A">
      <w:pPr>
        <w:rPr>
          <w:sz w:val="24"/>
          <w:szCs w:val="24"/>
        </w:rPr>
      </w:pPr>
    </w:p>
    <w:p w14:paraId="38EFCFBE" w14:textId="77777777" w:rsidR="00C60C48" w:rsidRDefault="00C60C48" w:rsidP="00FE5C5A">
      <w:pPr>
        <w:rPr>
          <w:sz w:val="24"/>
          <w:szCs w:val="24"/>
        </w:rPr>
      </w:pPr>
    </w:p>
    <w:p w14:paraId="4B990B0B" w14:textId="77777777" w:rsidR="00C60C48" w:rsidRDefault="00C60C48" w:rsidP="00FE5C5A">
      <w:pPr>
        <w:rPr>
          <w:sz w:val="24"/>
          <w:szCs w:val="24"/>
        </w:rPr>
      </w:pPr>
    </w:p>
    <w:p w14:paraId="0E35B337" w14:textId="25E3DE9E" w:rsidR="00C60C48" w:rsidRDefault="00C60C48" w:rsidP="00FE5C5A">
      <w:pPr>
        <w:rPr>
          <w:sz w:val="24"/>
          <w:szCs w:val="24"/>
        </w:rPr>
        <w:sectPr w:rsidR="00C60C48">
          <w:headerReference w:type="default" r:id="rId8"/>
          <w:footerReference w:type="default" r:id="rId9"/>
          <w:pgSz w:w="12240" w:h="15840"/>
          <w:pgMar w:top="1440" w:right="1440" w:bottom="1440" w:left="1440" w:header="720" w:footer="720" w:gutter="0"/>
          <w:cols w:space="720"/>
          <w:docGrid w:linePitch="360"/>
        </w:sectPr>
      </w:pPr>
    </w:p>
    <w:p w14:paraId="5E1215C9" w14:textId="6C9F9BBD" w:rsidR="00C60C48" w:rsidRPr="00C60C48" w:rsidRDefault="00C60C48" w:rsidP="00FE5C5A">
      <w:pPr>
        <w:rPr>
          <w:i/>
          <w:iCs/>
          <w:u w:val="single"/>
        </w:rPr>
      </w:pPr>
      <w:r w:rsidRPr="00C60C48">
        <w:rPr>
          <w:i/>
          <w:iCs/>
          <w:u w:val="single"/>
        </w:rPr>
        <w:lastRenderedPageBreak/>
        <w:t>Table 3</w:t>
      </w:r>
    </w:p>
    <w:p w14:paraId="4860C75D" w14:textId="7EAD6BEB" w:rsidR="00BD2199" w:rsidRDefault="00C60C48" w:rsidP="00FE5C5A">
      <w:pPr>
        <w:rPr>
          <w:sz w:val="24"/>
          <w:szCs w:val="24"/>
        </w:rPr>
      </w:pPr>
      <w:r w:rsidRPr="005F7AE3">
        <w:rPr>
          <w:noProof/>
        </w:rPr>
        <w:drawing>
          <wp:inline distT="0" distB="0" distL="0" distR="0" wp14:anchorId="66B9D66B" wp14:editId="053AD893">
            <wp:extent cx="8229600" cy="250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2500630"/>
                    </a:xfrm>
                    <a:prstGeom prst="rect">
                      <a:avLst/>
                    </a:prstGeom>
                    <a:noFill/>
                    <a:ln>
                      <a:noFill/>
                    </a:ln>
                  </pic:spPr>
                </pic:pic>
              </a:graphicData>
            </a:graphic>
          </wp:inline>
        </w:drawing>
      </w:r>
    </w:p>
    <w:p w14:paraId="6E8E6678" w14:textId="42269B32" w:rsidR="00EA1A6B" w:rsidRDefault="00EA1A6B" w:rsidP="00FE5C5A">
      <w:pPr>
        <w:rPr>
          <w:sz w:val="24"/>
          <w:szCs w:val="24"/>
        </w:rPr>
      </w:pPr>
    </w:p>
    <w:p w14:paraId="5E1C989E" w14:textId="47973E11" w:rsidR="00C60C48" w:rsidRPr="00C60C48" w:rsidRDefault="00C60C48" w:rsidP="00FE5C5A">
      <w:pPr>
        <w:rPr>
          <w:i/>
          <w:iCs/>
          <w:sz w:val="24"/>
          <w:szCs w:val="24"/>
          <w:u w:val="single"/>
        </w:rPr>
      </w:pPr>
      <w:r w:rsidRPr="00C60C48">
        <w:rPr>
          <w:i/>
          <w:iCs/>
          <w:sz w:val="24"/>
          <w:szCs w:val="24"/>
          <w:u w:val="single"/>
        </w:rPr>
        <w:t>Table 4</w:t>
      </w:r>
    </w:p>
    <w:p w14:paraId="7DCCD1F7" w14:textId="7119F47F" w:rsidR="006B11D7" w:rsidRDefault="00C60C48" w:rsidP="00FE5C5A">
      <w:pPr>
        <w:rPr>
          <w:b/>
          <w:bCs/>
          <w:sz w:val="24"/>
          <w:szCs w:val="24"/>
        </w:rPr>
      </w:pPr>
      <w:r>
        <w:rPr>
          <w:b/>
          <w:bCs/>
          <w:noProof/>
          <w:sz w:val="24"/>
          <w:szCs w:val="24"/>
        </w:rPr>
        <w:drawing>
          <wp:inline distT="0" distB="0" distL="0" distR="0" wp14:anchorId="57582B93" wp14:editId="40BEC1B4">
            <wp:extent cx="8230235" cy="2499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0235" cy="2499360"/>
                    </a:xfrm>
                    <a:prstGeom prst="rect">
                      <a:avLst/>
                    </a:prstGeom>
                    <a:noFill/>
                  </pic:spPr>
                </pic:pic>
              </a:graphicData>
            </a:graphic>
          </wp:inline>
        </w:drawing>
      </w:r>
    </w:p>
    <w:p w14:paraId="4FFEC02E" w14:textId="7B1F89C9" w:rsidR="00C60C48" w:rsidRDefault="00C60C48" w:rsidP="00FE5C5A">
      <w:pPr>
        <w:rPr>
          <w:b/>
          <w:bCs/>
          <w:sz w:val="24"/>
          <w:szCs w:val="24"/>
        </w:rPr>
      </w:pPr>
    </w:p>
    <w:p w14:paraId="03F5E580" w14:textId="238824A9" w:rsidR="00C60C48" w:rsidRDefault="00C60C48" w:rsidP="00FE5C5A">
      <w:pPr>
        <w:rPr>
          <w:i/>
          <w:iCs/>
          <w:sz w:val="24"/>
          <w:szCs w:val="24"/>
          <w:u w:val="single"/>
        </w:rPr>
      </w:pPr>
      <w:r>
        <w:rPr>
          <w:i/>
          <w:iCs/>
          <w:sz w:val="24"/>
          <w:szCs w:val="24"/>
          <w:u w:val="single"/>
        </w:rPr>
        <w:t>Table 5</w:t>
      </w:r>
    </w:p>
    <w:p w14:paraId="38F323F0" w14:textId="6CDA5E5F" w:rsidR="00C60C48" w:rsidRPr="00C60C48" w:rsidRDefault="00C60C48" w:rsidP="00FE5C5A">
      <w:pPr>
        <w:rPr>
          <w:sz w:val="24"/>
          <w:szCs w:val="24"/>
        </w:rPr>
      </w:pPr>
      <w:r>
        <w:rPr>
          <w:noProof/>
          <w:sz w:val="24"/>
          <w:szCs w:val="24"/>
        </w:rPr>
        <w:drawing>
          <wp:inline distT="0" distB="0" distL="0" distR="0" wp14:anchorId="6D69FA91" wp14:editId="3773B458">
            <wp:extent cx="8230235" cy="2499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30235" cy="2499360"/>
                    </a:xfrm>
                    <a:prstGeom prst="rect">
                      <a:avLst/>
                    </a:prstGeom>
                    <a:noFill/>
                  </pic:spPr>
                </pic:pic>
              </a:graphicData>
            </a:graphic>
          </wp:inline>
        </w:drawing>
      </w:r>
    </w:p>
    <w:p w14:paraId="4402C368" w14:textId="390F3922" w:rsidR="00C60C48" w:rsidRDefault="00C60C48" w:rsidP="00FE5C5A">
      <w:pPr>
        <w:rPr>
          <w:i/>
          <w:iCs/>
          <w:sz w:val="24"/>
          <w:szCs w:val="24"/>
          <w:u w:val="single"/>
        </w:rPr>
      </w:pPr>
    </w:p>
    <w:p w14:paraId="180FAAB7" w14:textId="6131C2D0" w:rsidR="00C60C48" w:rsidRPr="00C60C48" w:rsidRDefault="00C60C48" w:rsidP="00FE5C5A">
      <w:pPr>
        <w:rPr>
          <w:i/>
          <w:iCs/>
          <w:sz w:val="24"/>
          <w:szCs w:val="24"/>
          <w:u w:val="single"/>
        </w:rPr>
      </w:pPr>
      <w:r>
        <w:rPr>
          <w:i/>
          <w:iCs/>
          <w:sz w:val="24"/>
          <w:szCs w:val="24"/>
          <w:u w:val="single"/>
        </w:rPr>
        <w:t>Table 6</w:t>
      </w:r>
    </w:p>
    <w:p w14:paraId="638B376E" w14:textId="09D90035" w:rsidR="006B11D7" w:rsidRDefault="00C60C48" w:rsidP="00FE5C5A">
      <w:pPr>
        <w:rPr>
          <w:b/>
          <w:bCs/>
          <w:sz w:val="24"/>
          <w:szCs w:val="24"/>
        </w:rPr>
      </w:pPr>
      <w:r>
        <w:rPr>
          <w:b/>
          <w:bCs/>
          <w:noProof/>
          <w:sz w:val="24"/>
          <w:szCs w:val="24"/>
        </w:rPr>
        <w:lastRenderedPageBreak/>
        <w:drawing>
          <wp:inline distT="0" distB="0" distL="0" distR="0" wp14:anchorId="56EC070F" wp14:editId="4B7893FE">
            <wp:extent cx="8211820" cy="24936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11820" cy="2493645"/>
                    </a:xfrm>
                    <a:prstGeom prst="rect">
                      <a:avLst/>
                    </a:prstGeom>
                    <a:noFill/>
                  </pic:spPr>
                </pic:pic>
              </a:graphicData>
            </a:graphic>
          </wp:inline>
        </w:drawing>
      </w:r>
    </w:p>
    <w:p w14:paraId="64E9A3FA" w14:textId="7D5F1844" w:rsidR="00B85FDB" w:rsidRDefault="00B85FDB" w:rsidP="00FE5C5A">
      <w:pPr>
        <w:rPr>
          <w:b/>
          <w:bCs/>
          <w:sz w:val="24"/>
          <w:szCs w:val="24"/>
        </w:rPr>
      </w:pPr>
    </w:p>
    <w:p w14:paraId="4432E336" w14:textId="03ABF92D" w:rsidR="00B85FDB" w:rsidRPr="00B85FDB" w:rsidRDefault="00B85FDB" w:rsidP="00FE5C5A">
      <w:pPr>
        <w:rPr>
          <w:i/>
          <w:iCs/>
          <w:sz w:val="24"/>
          <w:szCs w:val="24"/>
          <w:u w:val="single"/>
        </w:rPr>
      </w:pPr>
      <w:r w:rsidRPr="00B85FDB">
        <w:rPr>
          <w:i/>
          <w:iCs/>
          <w:sz w:val="24"/>
          <w:szCs w:val="24"/>
          <w:u w:val="single"/>
        </w:rPr>
        <w:t>Table 7</w:t>
      </w:r>
    </w:p>
    <w:tbl>
      <w:tblPr>
        <w:tblW w:w="10540" w:type="dxa"/>
        <w:tblLook w:val="04A0" w:firstRow="1" w:lastRow="0" w:firstColumn="1" w:lastColumn="0" w:noHBand="0" w:noVBand="1"/>
      </w:tblPr>
      <w:tblGrid>
        <w:gridCol w:w="460"/>
        <w:gridCol w:w="1260"/>
        <w:gridCol w:w="1260"/>
        <w:gridCol w:w="1260"/>
        <w:gridCol w:w="1260"/>
        <w:gridCol w:w="1260"/>
        <w:gridCol w:w="1260"/>
        <w:gridCol w:w="1260"/>
        <w:gridCol w:w="1260"/>
      </w:tblGrid>
      <w:tr w:rsidR="00B85FDB" w:rsidRPr="00B85FDB" w14:paraId="6169EA7A" w14:textId="77777777" w:rsidTr="00B85FDB">
        <w:trPr>
          <w:trHeight w:val="315"/>
        </w:trPr>
        <w:tc>
          <w:tcPr>
            <w:tcW w:w="460" w:type="dxa"/>
            <w:tcBorders>
              <w:top w:val="nil"/>
              <w:left w:val="nil"/>
              <w:bottom w:val="nil"/>
              <w:right w:val="nil"/>
            </w:tcBorders>
            <w:shd w:val="clear" w:color="auto" w:fill="auto"/>
            <w:noWrap/>
            <w:vAlign w:val="bottom"/>
            <w:hideMark/>
          </w:tcPr>
          <w:p w14:paraId="4E2CCF86" w14:textId="77777777" w:rsidR="00B85FDB" w:rsidRPr="00B85FDB" w:rsidRDefault="00B85FDB" w:rsidP="00B85FDB">
            <w:pPr>
              <w:spacing w:after="0" w:line="240" w:lineRule="auto"/>
              <w:rPr>
                <w:rFonts w:ascii="Times New Roman" w:eastAsia="Times New Roman" w:hAnsi="Times New Roman" w:cs="Times New Roman"/>
                <w:sz w:val="24"/>
                <w:szCs w:val="24"/>
              </w:rPr>
            </w:pPr>
          </w:p>
        </w:tc>
        <w:tc>
          <w:tcPr>
            <w:tcW w:w="2520" w:type="dxa"/>
            <w:gridSpan w:val="2"/>
            <w:tcBorders>
              <w:top w:val="single" w:sz="4" w:space="0" w:color="auto"/>
              <w:left w:val="nil"/>
              <w:bottom w:val="double" w:sz="6" w:space="0" w:color="auto"/>
              <w:right w:val="nil"/>
            </w:tcBorders>
            <w:shd w:val="clear" w:color="auto" w:fill="auto"/>
            <w:noWrap/>
            <w:vAlign w:val="bottom"/>
            <w:hideMark/>
          </w:tcPr>
          <w:p w14:paraId="282226D7"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France</w:t>
            </w:r>
          </w:p>
        </w:tc>
        <w:tc>
          <w:tcPr>
            <w:tcW w:w="2520" w:type="dxa"/>
            <w:gridSpan w:val="2"/>
            <w:tcBorders>
              <w:top w:val="single" w:sz="4" w:space="0" w:color="auto"/>
              <w:left w:val="nil"/>
              <w:bottom w:val="double" w:sz="6" w:space="0" w:color="auto"/>
              <w:right w:val="nil"/>
            </w:tcBorders>
            <w:shd w:val="clear" w:color="000000" w:fill="D0CECE"/>
            <w:noWrap/>
            <w:vAlign w:val="bottom"/>
            <w:hideMark/>
          </w:tcPr>
          <w:p w14:paraId="4138D3CE"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Germany</w:t>
            </w:r>
          </w:p>
        </w:tc>
        <w:tc>
          <w:tcPr>
            <w:tcW w:w="2520" w:type="dxa"/>
            <w:gridSpan w:val="2"/>
            <w:tcBorders>
              <w:top w:val="single" w:sz="4" w:space="0" w:color="auto"/>
              <w:left w:val="nil"/>
              <w:bottom w:val="double" w:sz="6" w:space="0" w:color="auto"/>
              <w:right w:val="nil"/>
            </w:tcBorders>
            <w:shd w:val="clear" w:color="auto" w:fill="auto"/>
            <w:noWrap/>
            <w:vAlign w:val="bottom"/>
            <w:hideMark/>
          </w:tcPr>
          <w:p w14:paraId="3C226D8A"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Sweden</w:t>
            </w:r>
          </w:p>
        </w:tc>
        <w:tc>
          <w:tcPr>
            <w:tcW w:w="2520" w:type="dxa"/>
            <w:gridSpan w:val="2"/>
            <w:tcBorders>
              <w:top w:val="single" w:sz="4" w:space="0" w:color="auto"/>
              <w:left w:val="nil"/>
              <w:bottom w:val="double" w:sz="6" w:space="0" w:color="auto"/>
              <w:right w:val="nil"/>
            </w:tcBorders>
            <w:shd w:val="clear" w:color="000000" w:fill="D0CECE"/>
            <w:noWrap/>
            <w:vAlign w:val="bottom"/>
            <w:hideMark/>
          </w:tcPr>
          <w:p w14:paraId="0FD10999"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U.K.</w:t>
            </w:r>
          </w:p>
        </w:tc>
      </w:tr>
      <w:tr w:rsidR="00B85FDB" w:rsidRPr="00B85FDB" w14:paraId="37D13EB9" w14:textId="77777777" w:rsidTr="00B85FDB">
        <w:trPr>
          <w:trHeight w:val="615"/>
        </w:trPr>
        <w:tc>
          <w:tcPr>
            <w:tcW w:w="460" w:type="dxa"/>
            <w:tcBorders>
              <w:top w:val="nil"/>
              <w:left w:val="nil"/>
              <w:bottom w:val="nil"/>
              <w:right w:val="nil"/>
            </w:tcBorders>
            <w:shd w:val="clear" w:color="auto" w:fill="auto"/>
            <w:noWrap/>
            <w:vAlign w:val="bottom"/>
            <w:hideMark/>
          </w:tcPr>
          <w:p w14:paraId="3755377E" w14:textId="77777777" w:rsidR="00B85FDB" w:rsidRPr="00B85FDB" w:rsidRDefault="00B85FDB" w:rsidP="00B85FDB">
            <w:pPr>
              <w:spacing w:after="0" w:line="240" w:lineRule="auto"/>
              <w:jc w:val="center"/>
              <w:rPr>
                <w:rFonts w:ascii="Calibri" w:eastAsia="Times New Roman" w:hAnsi="Calibri" w:cs="Calibri"/>
                <w:color w:val="000000"/>
              </w:rPr>
            </w:pPr>
          </w:p>
        </w:tc>
        <w:tc>
          <w:tcPr>
            <w:tcW w:w="1260" w:type="dxa"/>
            <w:tcBorders>
              <w:top w:val="nil"/>
              <w:left w:val="single" w:sz="4" w:space="0" w:color="auto"/>
              <w:bottom w:val="single" w:sz="4" w:space="0" w:color="auto"/>
              <w:right w:val="nil"/>
            </w:tcBorders>
            <w:shd w:val="clear" w:color="auto" w:fill="auto"/>
            <w:vAlign w:val="bottom"/>
            <w:hideMark/>
          </w:tcPr>
          <w:p w14:paraId="5B3EA933"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Average Probability</w:t>
            </w:r>
          </w:p>
        </w:tc>
        <w:tc>
          <w:tcPr>
            <w:tcW w:w="1260" w:type="dxa"/>
            <w:tcBorders>
              <w:top w:val="nil"/>
              <w:left w:val="nil"/>
              <w:bottom w:val="single" w:sz="4" w:space="0" w:color="auto"/>
              <w:right w:val="single" w:sz="4" w:space="0" w:color="auto"/>
            </w:tcBorders>
            <w:shd w:val="clear" w:color="auto" w:fill="auto"/>
            <w:vAlign w:val="bottom"/>
            <w:hideMark/>
          </w:tcPr>
          <w:p w14:paraId="0DEDEDDC"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Nationalist Probability</w:t>
            </w:r>
          </w:p>
        </w:tc>
        <w:tc>
          <w:tcPr>
            <w:tcW w:w="1260" w:type="dxa"/>
            <w:tcBorders>
              <w:top w:val="nil"/>
              <w:left w:val="nil"/>
              <w:bottom w:val="single" w:sz="4" w:space="0" w:color="auto"/>
              <w:right w:val="nil"/>
            </w:tcBorders>
            <w:shd w:val="clear" w:color="000000" w:fill="D0CECE"/>
            <w:vAlign w:val="bottom"/>
            <w:hideMark/>
          </w:tcPr>
          <w:p w14:paraId="7BCACCB6"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Average Probability</w:t>
            </w:r>
          </w:p>
        </w:tc>
        <w:tc>
          <w:tcPr>
            <w:tcW w:w="1260" w:type="dxa"/>
            <w:tcBorders>
              <w:top w:val="nil"/>
              <w:left w:val="nil"/>
              <w:bottom w:val="single" w:sz="4" w:space="0" w:color="auto"/>
              <w:right w:val="single" w:sz="4" w:space="0" w:color="auto"/>
            </w:tcBorders>
            <w:shd w:val="clear" w:color="000000" w:fill="D0CECE"/>
            <w:vAlign w:val="bottom"/>
            <w:hideMark/>
          </w:tcPr>
          <w:p w14:paraId="2E1C605F"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Nationalist Probability</w:t>
            </w:r>
          </w:p>
        </w:tc>
        <w:tc>
          <w:tcPr>
            <w:tcW w:w="1260" w:type="dxa"/>
            <w:tcBorders>
              <w:top w:val="nil"/>
              <w:left w:val="nil"/>
              <w:bottom w:val="single" w:sz="4" w:space="0" w:color="auto"/>
              <w:right w:val="nil"/>
            </w:tcBorders>
            <w:shd w:val="clear" w:color="auto" w:fill="auto"/>
            <w:vAlign w:val="bottom"/>
            <w:hideMark/>
          </w:tcPr>
          <w:p w14:paraId="11A9F8E7"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Average Probability</w:t>
            </w:r>
          </w:p>
        </w:tc>
        <w:tc>
          <w:tcPr>
            <w:tcW w:w="1260" w:type="dxa"/>
            <w:tcBorders>
              <w:top w:val="nil"/>
              <w:left w:val="nil"/>
              <w:bottom w:val="single" w:sz="4" w:space="0" w:color="auto"/>
              <w:right w:val="single" w:sz="4" w:space="0" w:color="auto"/>
            </w:tcBorders>
            <w:shd w:val="clear" w:color="auto" w:fill="auto"/>
            <w:vAlign w:val="bottom"/>
            <w:hideMark/>
          </w:tcPr>
          <w:p w14:paraId="40BE67F8"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Nationalist Probability</w:t>
            </w:r>
          </w:p>
        </w:tc>
        <w:tc>
          <w:tcPr>
            <w:tcW w:w="1260" w:type="dxa"/>
            <w:tcBorders>
              <w:top w:val="nil"/>
              <w:left w:val="nil"/>
              <w:bottom w:val="single" w:sz="4" w:space="0" w:color="auto"/>
              <w:right w:val="nil"/>
            </w:tcBorders>
            <w:shd w:val="clear" w:color="000000" w:fill="D0CECE"/>
            <w:vAlign w:val="bottom"/>
            <w:hideMark/>
          </w:tcPr>
          <w:p w14:paraId="63A77BD2"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Average Probability</w:t>
            </w:r>
          </w:p>
        </w:tc>
        <w:tc>
          <w:tcPr>
            <w:tcW w:w="1260" w:type="dxa"/>
            <w:tcBorders>
              <w:top w:val="nil"/>
              <w:left w:val="nil"/>
              <w:bottom w:val="single" w:sz="4" w:space="0" w:color="auto"/>
              <w:right w:val="single" w:sz="4" w:space="0" w:color="auto"/>
            </w:tcBorders>
            <w:shd w:val="clear" w:color="000000" w:fill="D0CECE"/>
            <w:vAlign w:val="bottom"/>
            <w:hideMark/>
          </w:tcPr>
          <w:p w14:paraId="2B460241" w14:textId="77777777" w:rsidR="00B85FDB" w:rsidRPr="00B85FDB" w:rsidRDefault="00B85FDB" w:rsidP="00B85FDB">
            <w:pPr>
              <w:spacing w:after="0" w:line="240" w:lineRule="auto"/>
              <w:jc w:val="center"/>
              <w:rPr>
                <w:rFonts w:ascii="Calibri" w:eastAsia="Times New Roman" w:hAnsi="Calibri" w:cs="Calibri"/>
                <w:color w:val="000000"/>
              </w:rPr>
            </w:pPr>
            <w:r w:rsidRPr="00B85FDB">
              <w:rPr>
                <w:rFonts w:ascii="Calibri" w:eastAsia="Times New Roman" w:hAnsi="Calibri" w:cs="Calibri"/>
                <w:color w:val="000000"/>
              </w:rPr>
              <w:t>Nationalist Probability</w:t>
            </w:r>
          </w:p>
        </w:tc>
      </w:tr>
      <w:tr w:rsidR="00B85FDB" w:rsidRPr="00B85FDB" w14:paraId="3D9990CE"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7160012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1</w:t>
            </w:r>
          </w:p>
        </w:tc>
        <w:tc>
          <w:tcPr>
            <w:tcW w:w="1260" w:type="dxa"/>
            <w:tcBorders>
              <w:top w:val="nil"/>
              <w:left w:val="nil"/>
              <w:bottom w:val="nil"/>
              <w:right w:val="nil"/>
            </w:tcBorders>
            <w:shd w:val="clear" w:color="auto" w:fill="auto"/>
            <w:noWrap/>
            <w:vAlign w:val="bottom"/>
            <w:hideMark/>
          </w:tcPr>
          <w:p w14:paraId="0B18BC4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75.5</w:t>
            </w:r>
          </w:p>
        </w:tc>
        <w:tc>
          <w:tcPr>
            <w:tcW w:w="1260" w:type="dxa"/>
            <w:tcBorders>
              <w:top w:val="nil"/>
              <w:left w:val="nil"/>
              <w:bottom w:val="nil"/>
              <w:right w:val="single" w:sz="4" w:space="0" w:color="auto"/>
            </w:tcBorders>
            <w:shd w:val="clear" w:color="auto" w:fill="auto"/>
            <w:noWrap/>
            <w:vAlign w:val="bottom"/>
            <w:hideMark/>
          </w:tcPr>
          <w:p w14:paraId="4EFC2040"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74.8</w:t>
            </w:r>
          </w:p>
        </w:tc>
        <w:tc>
          <w:tcPr>
            <w:tcW w:w="1260" w:type="dxa"/>
            <w:tcBorders>
              <w:top w:val="nil"/>
              <w:left w:val="nil"/>
              <w:bottom w:val="nil"/>
              <w:right w:val="nil"/>
            </w:tcBorders>
            <w:shd w:val="clear" w:color="000000" w:fill="D0CECE"/>
            <w:noWrap/>
            <w:vAlign w:val="bottom"/>
            <w:hideMark/>
          </w:tcPr>
          <w:p w14:paraId="396E0806"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87.2</w:t>
            </w:r>
          </w:p>
        </w:tc>
        <w:tc>
          <w:tcPr>
            <w:tcW w:w="1260" w:type="dxa"/>
            <w:tcBorders>
              <w:top w:val="nil"/>
              <w:left w:val="nil"/>
              <w:bottom w:val="nil"/>
              <w:right w:val="single" w:sz="4" w:space="0" w:color="auto"/>
            </w:tcBorders>
            <w:shd w:val="clear" w:color="000000" w:fill="D0CECE"/>
            <w:noWrap/>
            <w:vAlign w:val="bottom"/>
            <w:hideMark/>
          </w:tcPr>
          <w:p w14:paraId="4D36A0A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82.1</w:t>
            </w:r>
          </w:p>
        </w:tc>
        <w:tc>
          <w:tcPr>
            <w:tcW w:w="1260" w:type="dxa"/>
            <w:tcBorders>
              <w:top w:val="nil"/>
              <w:left w:val="nil"/>
              <w:bottom w:val="nil"/>
              <w:right w:val="nil"/>
            </w:tcBorders>
            <w:shd w:val="clear" w:color="auto" w:fill="auto"/>
            <w:noWrap/>
            <w:vAlign w:val="bottom"/>
            <w:hideMark/>
          </w:tcPr>
          <w:p w14:paraId="43BEE62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90.1</w:t>
            </w:r>
          </w:p>
        </w:tc>
        <w:tc>
          <w:tcPr>
            <w:tcW w:w="1260" w:type="dxa"/>
            <w:tcBorders>
              <w:top w:val="nil"/>
              <w:left w:val="nil"/>
              <w:bottom w:val="nil"/>
              <w:right w:val="single" w:sz="4" w:space="0" w:color="auto"/>
            </w:tcBorders>
            <w:shd w:val="clear" w:color="auto" w:fill="auto"/>
            <w:noWrap/>
            <w:vAlign w:val="bottom"/>
            <w:hideMark/>
          </w:tcPr>
          <w:p w14:paraId="0D90A085"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91.2</w:t>
            </w:r>
          </w:p>
        </w:tc>
        <w:tc>
          <w:tcPr>
            <w:tcW w:w="1260" w:type="dxa"/>
            <w:tcBorders>
              <w:top w:val="nil"/>
              <w:left w:val="nil"/>
              <w:bottom w:val="nil"/>
              <w:right w:val="nil"/>
            </w:tcBorders>
            <w:shd w:val="clear" w:color="000000" w:fill="D0CECE"/>
            <w:noWrap/>
            <w:vAlign w:val="bottom"/>
            <w:hideMark/>
          </w:tcPr>
          <w:p w14:paraId="006AB7D5"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75.6</w:t>
            </w:r>
          </w:p>
        </w:tc>
        <w:tc>
          <w:tcPr>
            <w:tcW w:w="1260" w:type="dxa"/>
            <w:tcBorders>
              <w:top w:val="nil"/>
              <w:left w:val="nil"/>
              <w:bottom w:val="nil"/>
              <w:right w:val="single" w:sz="4" w:space="0" w:color="auto"/>
            </w:tcBorders>
            <w:shd w:val="clear" w:color="000000" w:fill="D0CECE"/>
            <w:noWrap/>
            <w:vAlign w:val="bottom"/>
            <w:hideMark/>
          </w:tcPr>
          <w:p w14:paraId="191B0B9F"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79.1</w:t>
            </w:r>
          </w:p>
        </w:tc>
      </w:tr>
      <w:tr w:rsidR="00B85FDB" w:rsidRPr="00B85FDB" w14:paraId="02E2BEC4"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4754FD19"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2</w:t>
            </w:r>
          </w:p>
        </w:tc>
        <w:tc>
          <w:tcPr>
            <w:tcW w:w="1260" w:type="dxa"/>
            <w:tcBorders>
              <w:top w:val="nil"/>
              <w:left w:val="nil"/>
              <w:bottom w:val="nil"/>
              <w:right w:val="nil"/>
            </w:tcBorders>
            <w:shd w:val="clear" w:color="auto" w:fill="auto"/>
            <w:noWrap/>
            <w:vAlign w:val="bottom"/>
            <w:hideMark/>
          </w:tcPr>
          <w:p w14:paraId="227E8A8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77.7</w:t>
            </w:r>
          </w:p>
        </w:tc>
        <w:tc>
          <w:tcPr>
            <w:tcW w:w="1260" w:type="dxa"/>
            <w:tcBorders>
              <w:top w:val="nil"/>
              <w:left w:val="nil"/>
              <w:bottom w:val="nil"/>
              <w:right w:val="single" w:sz="4" w:space="0" w:color="auto"/>
            </w:tcBorders>
            <w:shd w:val="clear" w:color="auto" w:fill="auto"/>
            <w:noWrap/>
            <w:vAlign w:val="bottom"/>
            <w:hideMark/>
          </w:tcPr>
          <w:p w14:paraId="6B959D88"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78.3</w:t>
            </w:r>
          </w:p>
        </w:tc>
        <w:tc>
          <w:tcPr>
            <w:tcW w:w="1260" w:type="dxa"/>
            <w:tcBorders>
              <w:top w:val="nil"/>
              <w:left w:val="nil"/>
              <w:bottom w:val="nil"/>
              <w:right w:val="nil"/>
            </w:tcBorders>
            <w:shd w:val="clear" w:color="000000" w:fill="D0CECE"/>
            <w:noWrap/>
            <w:vAlign w:val="bottom"/>
            <w:hideMark/>
          </w:tcPr>
          <w:p w14:paraId="65C95C98"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84.1</w:t>
            </w:r>
          </w:p>
        </w:tc>
        <w:tc>
          <w:tcPr>
            <w:tcW w:w="1260" w:type="dxa"/>
            <w:tcBorders>
              <w:top w:val="nil"/>
              <w:left w:val="nil"/>
              <w:bottom w:val="nil"/>
              <w:right w:val="single" w:sz="4" w:space="0" w:color="auto"/>
            </w:tcBorders>
            <w:shd w:val="clear" w:color="000000" w:fill="D0CECE"/>
            <w:noWrap/>
            <w:vAlign w:val="bottom"/>
            <w:hideMark/>
          </w:tcPr>
          <w:p w14:paraId="78F22C86"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84.3</w:t>
            </w:r>
          </w:p>
        </w:tc>
        <w:tc>
          <w:tcPr>
            <w:tcW w:w="1260" w:type="dxa"/>
            <w:tcBorders>
              <w:top w:val="nil"/>
              <w:left w:val="nil"/>
              <w:bottom w:val="nil"/>
              <w:right w:val="nil"/>
            </w:tcBorders>
            <w:shd w:val="clear" w:color="auto" w:fill="auto"/>
            <w:noWrap/>
            <w:vAlign w:val="bottom"/>
            <w:hideMark/>
          </w:tcPr>
          <w:p w14:paraId="7DA313C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93.4</w:t>
            </w:r>
          </w:p>
        </w:tc>
        <w:tc>
          <w:tcPr>
            <w:tcW w:w="1260" w:type="dxa"/>
            <w:tcBorders>
              <w:top w:val="nil"/>
              <w:left w:val="nil"/>
              <w:bottom w:val="nil"/>
              <w:right w:val="single" w:sz="4" w:space="0" w:color="auto"/>
            </w:tcBorders>
            <w:shd w:val="clear" w:color="auto" w:fill="auto"/>
            <w:noWrap/>
            <w:vAlign w:val="bottom"/>
            <w:hideMark/>
          </w:tcPr>
          <w:p w14:paraId="743B9AE0"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95.9</w:t>
            </w:r>
          </w:p>
        </w:tc>
        <w:tc>
          <w:tcPr>
            <w:tcW w:w="1260" w:type="dxa"/>
            <w:tcBorders>
              <w:top w:val="nil"/>
              <w:left w:val="nil"/>
              <w:bottom w:val="nil"/>
              <w:right w:val="nil"/>
            </w:tcBorders>
            <w:shd w:val="clear" w:color="000000" w:fill="D0CECE"/>
            <w:noWrap/>
            <w:vAlign w:val="bottom"/>
            <w:hideMark/>
          </w:tcPr>
          <w:p w14:paraId="2DB189DF"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71.7</w:t>
            </w:r>
          </w:p>
        </w:tc>
        <w:tc>
          <w:tcPr>
            <w:tcW w:w="1260" w:type="dxa"/>
            <w:tcBorders>
              <w:top w:val="nil"/>
              <w:left w:val="nil"/>
              <w:bottom w:val="nil"/>
              <w:right w:val="single" w:sz="4" w:space="0" w:color="auto"/>
            </w:tcBorders>
            <w:shd w:val="clear" w:color="000000" w:fill="D0CECE"/>
            <w:noWrap/>
            <w:vAlign w:val="bottom"/>
            <w:hideMark/>
          </w:tcPr>
          <w:p w14:paraId="0F030BA7"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77.6</w:t>
            </w:r>
          </w:p>
        </w:tc>
      </w:tr>
      <w:tr w:rsidR="00B85FDB" w:rsidRPr="00B85FDB" w14:paraId="2231ACBD"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4FBD286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3</w:t>
            </w:r>
          </w:p>
        </w:tc>
        <w:tc>
          <w:tcPr>
            <w:tcW w:w="1260" w:type="dxa"/>
            <w:tcBorders>
              <w:top w:val="nil"/>
              <w:left w:val="nil"/>
              <w:bottom w:val="nil"/>
              <w:right w:val="nil"/>
            </w:tcBorders>
            <w:shd w:val="clear" w:color="auto" w:fill="auto"/>
            <w:noWrap/>
            <w:vAlign w:val="bottom"/>
            <w:hideMark/>
          </w:tcPr>
          <w:p w14:paraId="26C441BB"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78.8</w:t>
            </w:r>
          </w:p>
        </w:tc>
        <w:tc>
          <w:tcPr>
            <w:tcW w:w="1260" w:type="dxa"/>
            <w:tcBorders>
              <w:top w:val="nil"/>
              <w:left w:val="nil"/>
              <w:bottom w:val="nil"/>
              <w:right w:val="single" w:sz="4" w:space="0" w:color="auto"/>
            </w:tcBorders>
            <w:shd w:val="clear" w:color="auto" w:fill="auto"/>
            <w:noWrap/>
            <w:vAlign w:val="bottom"/>
            <w:hideMark/>
          </w:tcPr>
          <w:p w14:paraId="521A5788"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80.1</w:t>
            </w:r>
          </w:p>
        </w:tc>
        <w:tc>
          <w:tcPr>
            <w:tcW w:w="1260" w:type="dxa"/>
            <w:tcBorders>
              <w:top w:val="nil"/>
              <w:left w:val="nil"/>
              <w:bottom w:val="nil"/>
              <w:right w:val="nil"/>
            </w:tcBorders>
            <w:shd w:val="clear" w:color="000000" w:fill="D0CECE"/>
            <w:noWrap/>
            <w:vAlign w:val="bottom"/>
            <w:hideMark/>
          </w:tcPr>
          <w:p w14:paraId="579CE9E0"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83</w:t>
            </w:r>
          </w:p>
        </w:tc>
        <w:tc>
          <w:tcPr>
            <w:tcW w:w="1260" w:type="dxa"/>
            <w:tcBorders>
              <w:top w:val="nil"/>
              <w:left w:val="nil"/>
              <w:bottom w:val="nil"/>
              <w:right w:val="single" w:sz="4" w:space="0" w:color="auto"/>
            </w:tcBorders>
            <w:shd w:val="clear" w:color="000000" w:fill="D0CECE"/>
            <w:noWrap/>
            <w:vAlign w:val="bottom"/>
            <w:hideMark/>
          </w:tcPr>
          <w:p w14:paraId="39C51EA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83.9</w:t>
            </w:r>
          </w:p>
        </w:tc>
        <w:tc>
          <w:tcPr>
            <w:tcW w:w="1260" w:type="dxa"/>
            <w:tcBorders>
              <w:top w:val="nil"/>
              <w:left w:val="nil"/>
              <w:bottom w:val="nil"/>
              <w:right w:val="nil"/>
            </w:tcBorders>
            <w:shd w:val="clear" w:color="auto" w:fill="auto"/>
            <w:noWrap/>
            <w:vAlign w:val="bottom"/>
            <w:hideMark/>
          </w:tcPr>
          <w:p w14:paraId="5A36A6B1"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92.2</w:t>
            </w:r>
          </w:p>
        </w:tc>
        <w:tc>
          <w:tcPr>
            <w:tcW w:w="1260" w:type="dxa"/>
            <w:tcBorders>
              <w:top w:val="nil"/>
              <w:left w:val="nil"/>
              <w:bottom w:val="nil"/>
              <w:right w:val="single" w:sz="4" w:space="0" w:color="auto"/>
            </w:tcBorders>
            <w:shd w:val="clear" w:color="auto" w:fill="auto"/>
            <w:noWrap/>
            <w:vAlign w:val="bottom"/>
            <w:hideMark/>
          </w:tcPr>
          <w:p w14:paraId="7DA5B7F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85.2</w:t>
            </w:r>
          </w:p>
        </w:tc>
        <w:tc>
          <w:tcPr>
            <w:tcW w:w="1260" w:type="dxa"/>
            <w:tcBorders>
              <w:top w:val="nil"/>
              <w:left w:val="nil"/>
              <w:bottom w:val="nil"/>
              <w:right w:val="nil"/>
            </w:tcBorders>
            <w:shd w:val="clear" w:color="000000" w:fill="D0CECE"/>
            <w:noWrap/>
            <w:vAlign w:val="bottom"/>
            <w:hideMark/>
          </w:tcPr>
          <w:p w14:paraId="598EFBCF"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75.5</w:t>
            </w:r>
          </w:p>
        </w:tc>
        <w:tc>
          <w:tcPr>
            <w:tcW w:w="1260" w:type="dxa"/>
            <w:tcBorders>
              <w:top w:val="nil"/>
              <w:left w:val="nil"/>
              <w:bottom w:val="nil"/>
              <w:right w:val="single" w:sz="4" w:space="0" w:color="auto"/>
            </w:tcBorders>
            <w:shd w:val="clear" w:color="000000" w:fill="D0CECE"/>
            <w:noWrap/>
            <w:vAlign w:val="bottom"/>
            <w:hideMark/>
          </w:tcPr>
          <w:p w14:paraId="5D5F0AE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82.4</w:t>
            </w:r>
          </w:p>
        </w:tc>
      </w:tr>
      <w:tr w:rsidR="00B85FDB" w:rsidRPr="00B85FDB" w14:paraId="1913C180"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66BC9551"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4</w:t>
            </w:r>
          </w:p>
        </w:tc>
        <w:tc>
          <w:tcPr>
            <w:tcW w:w="1260" w:type="dxa"/>
            <w:tcBorders>
              <w:top w:val="nil"/>
              <w:left w:val="nil"/>
              <w:bottom w:val="nil"/>
              <w:right w:val="nil"/>
            </w:tcBorders>
            <w:shd w:val="clear" w:color="auto" w:fill="auto"/>
            <w:noWrap/>
            <w:vAlign w:val="bottom"/>
            <w:hideMark/>
          </w:tcPr>
          <w:p w14:paraId="6BB92947"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78.8</w:t>
            </w:r>
          </w:p>
        </w:tc>
        <w:tc>
          <w:tcPr>
            <w:tcW w:w="1260" w:type="dxa"/>
            <w:tcBorders>
              <w:top w:val="nil"/>
              <w:left w:val="nil"/>
              <w:bottom w:val="nil"/>
              <w:right w:val="single" w:sz="4" w:space="0" w:color="auto"/>
            </w:tcBorders>
            <w:shd w:val="clear" w:color="auto" w:fill="auto"/>
            <w:noWrap/>
            <w:vAlign w:val="bottom"/>
            <w:hideMark/>
          </w:tcPr>
          <w:p w14:paraId="3971755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85.2</w:t>
            </w:r>
          </w:p>
        </w:tc>
        <w:tc>
          <w:tcPr>
            <w:tcW w:w="1260" w:type="dxa"/>
            <w:tcBorders>
              <w:top w:val="nil"/>
              <w:left w:val="nil"/>
              <w:bottom w:val="nil"/>
              <w:right w:val="nil"/>
            </w:tcBorders>
            <w:shd w:val="clear" w:color="000000" w:fill="D0CECE"/>
            <w:noWrap/>
            <w:vAlign w:val="bottom"/>
            <w:hideMark/>
          </w:tcPr>
          <w:p w14:paraId="50B0524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85.4</w:t>
            </w:r>
          </w:p>
        </w:tc>
        <w:tc>
          <w:tcPr>
            <w:tcW w:w="1260" w:type="dxa"/>
            <w:tcBorders>
              <w:top w:val="nil"/>
              <w:left w:val="nil"/>
              <w:bottom w:val="nil"/>
              <w:right w:val="single" w:sz="4" w:space="0" w:color="auto"/>
            </w:tcBorders>
            <w:shd w:val="clear" w:color="000000" w:fill="D0CECE"/>
            <w:noWrap/>
            <w:vAlign w:val="bottom"/>
            <w:hideMark/>
          </w:tcPr>
          <w:p w14:paraId="1750E09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82.1</w:t>
            </w:r>
          </w:p>
        </w:tc>
        <w:tc>
          <w:tcPr>
            <w:tcW w:w="1260" w:type="dxa"/>
            <w:tcBorders>
              <w:top w:val="nil"/>
              <w:left w:val="nil"/>
              <w:bottom w:val="nil"/>
              <w:right w:val="nil"/>
            </w:tcBorders>
            <w:shd w:val="clear" w:color="auto" w:fill="auto"/>
            <w:noWrap/>
            <w:vAlign w:val="bottom"/>
            <w:hideMark/>
          </w:tcPr>
          <w:p w14:paraId="14C57559"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93.4</w:t>
            </w:r>
          </w:p>
        </w:tc>
        <w:tc>
          <w:tcPr>
            <w:tcW w:w="1260" w:type="dxa"/>
            <w:tcBorders>
              <w:top w:val="nil"/>
              <w:left w:val="nil"/>
              <w:bottom w:val="nil"/>
              <w:right w:val="single" w:sz="4" w:space="0" w:color="auto"/>
            </w:tcBorders>
            <w:shd w:val="clear" w:color="auto" w:fill="auto"/>
            <w:noWrap/>
            <w:vAlign w:val="bottom"/>
            <w:hideMark/>
          </w:tcPr>
          <w:p w14:paraId="7633A568"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94.8</w:t>
            </w:r>
          </w:p>
        </w:tc>
        <w:tc>
          <w:tcPr>
            <w:tcW w:w="1260" w:type="dxa"/>
            <w:tcBorders>
              <w:top w:val="nil"/>
              <w:left w:val="nil"/>
              <w:bottom w:val="nil"/>
              <w:right w:val="nil"/>
            </w:tcBorders>
            <w:shd w:val="clear" w:color="000000" w:fill="D0CECE"/>
            <w:noWrap/>
            <w:vAlign w:val="bottom"/>
            <w:hideMark/>
          </w:tcPr>
          <w:p w14:paraId="365D6AF6"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73.2</w:t>
            </w:r>
          </w:p>
        </w:tc>
        <w:tc>
          <w:tcPr>
            <w:tcW w:w="1260" w:type="dxa"/>
            <w:tcBorders>
              <w:top w:val="nil"/>
              <w:left w:val="nil"/>
              <w:bottom w:val="nil"/>
              <w:right w:val="single" w:sz="4" w:space="0" w:color="auto"/>
            </w:tcBorders>
            <w:shd w:val="clear" w:color="000000" w:fill="D0CECE"/>
            <w:noWrap/>
            <w:vAlign w:val="bottom"/>
            <w:hideMark/>
          </w:tcPr>
          <w:p w14:paraId="38DD33A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75.6</w:t>
            </w:r>
          </w:p>
        </w:tc>
      </w:tr>
      <w:tr w:rsidR="00B85FDB" w:rsidRPr="00B85FDB" w14:paraId="570275B0"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25F2FC9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5</w:t>
            </w:r>
          </w:p>
        </w:tc>
        <w:tc>
          <w:tcPr>
            <w:tcW w:w="1260" w:type="dxa"/>
            <w:tcBorders>
              <w:top w:val="nil"/>
              <w:left w:val="nil"/>
              <w:bottom w:val="nil"/>
              <w:right w:val="nil"/>
            </w:tcBorders>
            <w:shd w:val="clear" w:color="auto" w:fill="auto"/>
            <w:noWrap/>
            <w:vAlign w:val="bottom"/>
            <w:hideMark/>
          </w:tcPr>
          <w:p w14:paraId="75D092A1"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71.8</w:t>
            </w:r>
          </w:p>
        </w:tc>
        <w:tc>
          <w:tcPr>
            <w:tcW w:w="1260" w:type="dxa"/>
            <w:tcBorders>
              <w:top w:val="nil"/>
              <w:left w:val="nil"/>
              <w:bottom w:val="nil"/>
              <w:right w:val="single" w:sz="4" w:space="0" w:color="auto"/>
            </w:tcBorders>
            <w:shd w:val="clear" w:color="auto" w:fill="auto"/>
            <w:noWrap/>
            <w:vAlign w:val="bottom"/>
            <w:hideMark/>
          </w:tcPr>
          <w:p w14:paraId="5D9614A9"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82.1</w:t>
            </w:r>
          </w:p>
        </w:tc>
        <w:tc>
          <w:tcPr>
            <w:tcW w:w="1260" w:type="dxa"/>
            <w:tcBorders>
              <w:top w:val="nil"/>
              <w:left w:val="nil"/>
              <w:bottom w:val="nil"/>
              <w:right w:val="nil"/>
            </w:tcBorders>
            <w:shd w:val="clear" w:color="000000" w:fill="D0CECE"/>
            <w:noWrap/>
            <w:vAlign w:val="bottom"/>
            <w:hideMark/>
          </w:tcPr>
          <w:p w14:paraId="61A38011"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84.3</w:t>
            </w:r>
          </w:p>
        </w:tc>
        <w:tc>
          <w:tcPr>
            <w:tcW w:w="1260" w:type="dxa"/>
            <w:tcBorders>
              <w:top w:val="nil"/>
              <w:left w:val="nil"/>
              <w:bottom w:val="nil"/>
              <w:right w:val="single" w:sz="4" w:space="0" w:color="auto"/>
            </w:tcBorders>
            <w:shd w:val="clear" w:color="000000" w:fill="D0CECE"/>
            <w:noWrap/>
            <w:vAlign w:val="bottom"/>
            <w:hideMark/>
          </w:tcPr>
          <w:p w14:paraId="587502D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85</w:t>
            </w:r>
          </w:p>
        </w:tc>
        <w:tc>
          <w:tcPr>
            <w:tcW w:w="1260" w:type="dxa"/>
            <w:tcBorders>
              <w:top w:val="nil"/>
              <w:left w:val="nil"/>
              <w:bottom w:val="nil"/>
              <w:right w:val="nil"/>
            </w:tcBorders>
            <w:shd w:val="clear" w:color="auto" w:fill="auto"/>
            <w:noWrap/>
            <w:vAlign w:val="bottom"/>
            <w:hideMark/>
          </w:tcPr>
          <w:p w14:paraId="1BFBA756"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95.2</w:t>
            </w:r>
          </w:p>
        </w:tc>
        <w:tc>
          <w:tcPr>
            <w:tcW w:w="1260" w:type="dxa"/>
            <w:tcBorders>
              <w:top w:val="nil"/>
              <w:left w:val="nil"/>
              <w:bottom w:val="nil"/>
              <w:right w:val="single" w:sz="4" w:space="0" w:color="auto"/>
            </w:tcBorders>
            <w:shd w:val="clear" w:color="auto" w:fill="auto"/>
            <w:noWrap/>
            <w:vAlign w:val="bottom"/>
            <w:hideMark/>
          </w:tcPr>
          <w:p w14:paraId="204F59E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94.9</w:t>
            </w:r>
          </w:p>
        </w:tc>
        <w:tc>
          <w:tcPr>
            <w:tcW w:w="1260" w:type="dxa"/>
            <w:tcBorders>
              <w:top w:val="nil"/>
              <w:left w:val="nil"/>
              <w:bottom w:val="nil"/>
              <w:right w:val="nil"/>
            </w:tcBorders>
            <w:shd w:val="clear" w:color="000000" w:fill="D0CECE"/>
            <w:noWrap/>
            <w:vAlign w:val="bottom"/>
            <w:hideMark/>
          </w:tcPr>
          <w:p w14:paraId="1F3977BF"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74.9</w:t>
            </w:r>
          </w:p>
        </w:tc>
        <w:tc>
          <w:tcPr>
            <w:tcW w:w="1260" w:type="dxa"/>
            <w:tcBorders>
              <w:top w:val="nil"/>
              <w:left w:val="nil"/>
              <w:bottom w:val="nil"/>
              <w:right w:val="single" w:sz="4" w:space="0" w:color="auto"/>
            </w:tcBorders>
            <w:shd w:val="clear" w:color="000000" w:fill="D0CECE"/>
            <w:noWrap/>
            <w:vAlign w:val="bottom"/>
            <w:hideMark/>
          </w:tcPr>
          <w:p w14:paraId="7AB39906"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81.3</w:t>
            </w:r>
          </w:p>
        </w:tc>
      </w:tr>
      <w:tr w:rsidR="00B85FDB" w:rsidRPr="00B85FDB" w14:paraId="6A754D90"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1469BA2E"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6</w:t>
            </w:r>
          </w:p>
        </w:tc>
        <w:tc>
          <w:tcPr>
            <w:tcW w:w="1260" w:type="dxa"/>
            <w:tcBorders>
              <w:top w:val="nil"/>
              <w:left w:val="nil"/>
              <w:bottom w:val="nil"/>
              <w:right w:val="nil"/>
            </w:tcBorders>
            <w:shd w:val="clear" w:color="auto" w:fill="auto"/>
            <w:noWrap/>
            <w:vAlign w:val="bottom"/>
            <w:hideMark/>
          </w:tcPr>
          <w:p w14:paraId="37183700"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80.6</w:t>
            </w:r>
          </w:p>
        </w:tc>
        <w:tc>
          <w:tcPr>
            <w:tcW w:w="1260" w:type="dxa"/>
            <w:tcBorders>
              <w:top w:val="nil"/>
              <w:left w:val="nil"/>
              <w:bottom w:val="nil"/>
              <w:right w:val="single" w:sz="4" w:space="0" w:color="auto"/>
            </w:tcBorders>
            <w:shd w:val="clear" w:color="auto" w:fill="auto"/>
            <w:noWrap/>
            <w:vAlign w:val="bottom"/>
            <w:hideMark/>
          </w:tcPr>
          <w:p w14:paraId="3702CEFF"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83.5</w:t>
            </w:r>
          </w:p>
        </w:tc>
        <w:tc>
          <w:tcPr>
            <w:tcW w:w="1260" w:type="dxa"/>
            <w:tcBorders>
              <w:top w:val="nil"/>
              <w:left w:val="nil"/>
              <w:bottom w:val="nil"/>
              <w:right w:val="nil"/>
            </w:tcBorders>
            <w:shd w:val="clear" w:color="000000" w:fill="D0CECE"/>
            <w:noWrap/>
            <w:vAlign w:val="bottom"/>
            <w:hideMark/>
          </w:tcPr>
          <w:p w14:paraId="01CBD7DE"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84.3</w:t>
            </w:r>
          </w:p>
        </w:tc>
        <w:tc>
          <w:tcPr>
            <w:tcW w:w="1260" w:type="dxa"/>
            <w:tcBorders>
              <w:top w:val="nil"/>
              <w:left w:val="nil"/>
              <w:bottom w:val="nil"/>
              <w:right w:val="single" w:sz="4" w:space="0" w:color="auto"/>
            </w:tcBorders>
            <w:shd w:val="clear" w:color="000000" w:fill="D0CECE"/>
            <w:noWrap/>
            <w:vAlign w:val="bottom"/>
            <w:hideMark/>
          </w:tcPr>
          <w:p w14:paraId="04252137"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80.6</w:t>
            </w:r>
          </w:p>
        </w:tc>
        <w:tc>
          <w:tcPr>
            <w:tcW w:w="1260" w:type="dxa"/>
            <w:tcBorders>
              <w:top w:val="nil"/>
              <w:left w:val="nil"/>
              <w:bottom w:val="nil"/>
              <w:right w:val="nil"/>
            </w:tcBorders>
            <w:shd w:val="clear" w:color="auto" w:fill="auto"/>
            <w:noWrap/>
            <w:vAlign w:val="bottom"/>
            <w:hideMark/>
          </w:tcPr>
          <w:p w14:paraId="1F77EBF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91.7</w:t>
            </w:r>
          </w:p>
        </w:tc>
        <w:tc>
          <w:tcPr>
            <w:tcW w:w="1260" w:type="dxa"/>
            <w:tcBorders>
              <w:top w:val="nil"/>
              <w:left w:val="nil"/>
              <w:bottom w:val="nil"/>
              <w:right w:val="single" w:sz="4" w:space="0" w:color="auto"/>
            </w:tcBorders>
            <w:shd w:val="clear" w:color="auto" w:fill="auto"/>
            <w:noWrap/>
            <w:vAlign w:val="bottom"/>
            <w:hideMark/>
          </w:tcPr>
          <w:p w14:paraId="56A50B70"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84.5</w:t>
            </w:r>
          </w:p>
        </w:tc>
        <w:tc>
          <w:tcPr>
            <w:tcW w:w="1260" w:type="dxa"/>
            <w:tcBorders>
              <w:top w:val="nil"/>
              <w:left w:val="nil"/>
              <w:bottom w:val="nil"/>
              <w:right w:val="nil"/>
            </w:tcBorders>
            <w:shd w:val="clear" w:color="000000" w:fill="D0CECE"/>
            <w:noWrap/>
            <w:vAlign w:val="bottom"/>
            <w:hideMark/>
          </w:tcPr>
          <w:p w14:paraId="14B49DA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w:t>
            </w:r>
          </w:p>
        </w:tc>
        <w:tc>
          <w:tcPr>
            <w:tcW w:w="1260" w:type="dxa"/>
            <w:tcBorders>
              <w:top w:val="nil"/>
              <w:left w:val="nil"/>
              <w:bottom w:val="nil"/>
              <w:right w:val="single" w:sz="4" w:space="0" w:color="auto"/>
            </w:tcBorders>
            <w:shd w:val="clear" w:color="000000" w:fill="D0CECE"/>
            <w:noWrap/>
            <w:vAlign w:val="bottom"/>
            <w:hideMark/>
          </w:tcPr>
          <w:p w14:paraId="70118056"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75.9</w:t>
            </w:r>
          </w:p>
        </w:tc>
      </w:tr>
      <w:tr w:rsidR="00B85FDB" w:rsidRPr="00B85FDB" w14:paraId="6B289146"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312D83E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w:t>
            </w:r>
          </w:p>
        </w:tc>
        <w:tc>
          <w:tcPr>
            <w:tcW w:w="1260" w:type="dxa"/>
            <w:tcBorders>
              <w:top w:val="nil"/>
              <w:left w:val="nil"/>
              <w:bottom w:val="nil"/>
              <w:right w:val="nil"/>
            </w:tcBorders>
            <w:shd w:val="clear" w:color="auto" w:fill="auto"/>
            <w:noWrap/>
            <w:vAlign w:val="bottom"/>
            <w:hideMark/>
          </w:tcPr>
          <w:p w14:paraId="3A2AE32E"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70.1</w:t>
            </w:r>
          </w:p>
        </w:tc>
        <w:tc>
          <w:tcPr>
            <w:tcW w:w="1260" w:type="dxa"/>
            <w:tcBorders>
              <w:top w:val="nil"/>
              <w:left w:val="nil"/>
              <w:bottom w:val="nil"/>
              <w:right w:val="single" w:sz="4" w:space="0" w:color="auto"/>
            </w:tcBorders>
            <w:shd w:val="clear" w:color="auto" w:fill="auto"/>
            <w:noWrap/>
            <w:vAlign w:val="bottom"/>
            <w:hideMark/>
          </w:tcPr>
          <w:p w14:paraId="1A5A2B83"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78.3</w:t>
            </w:r>
          </w:p>
        </w:tc>
        <w:tc>
          <w:tcPr>
            <w:tcW w:w="1260" w:type="dxa"/>
            <w:tcBorders>
              <w:top w:val="nil"/>
              <w:left w:val="nil"/>
              <w:bottom w:val="nil"/>
              <w:right w:val="nil"/>
            </w:tcBorders>
            <w:shd w:val="clear" w:color="000000" w:fill="D0CECE"/>
            <w:noWrap/>
            <w:vAlign w:val="bottom"/>
            <w:hideMark/>
          </w:tcPr>
          <w:p w14:paraId="1044053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86.3</w:t>
            </w:r>
          </w:p>
        </w:tc>
        <w:tc>
          <w:tcPr>
            <w:tcW w:w="1260" w:type="dxa"/>
            <w:tcBorders>
              <w:top w:val="nil"/>
              <w:left w:val="nil"/>
              <w:bottom w:val="nil"/>
              <w:right w:val="single" w:sz="4" w:space="0" w:color="auto"/>
            </w:tcBorders>
            <w:shd w:val="clear" w:color="000000" w:fill="D0CECE"/>
            <w:noWrap/>
            <w:vAlign w:val="bottom"/>
            <w:hideMark/>
          </w:tcPr>
          <w:p w14:paraId="1C89443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87.9</w:t>
            </w:r>
          </w:p>
        </w:tc>
        <w:tc>
          <w:tcPr>
            <w:tcW w:w="1260" w:type="dxa"/>
            <w:tcBorders>
              <w:top w:val="nil"/>
              <w:left w:val="nil"/>
              <w:bottom w:val="nil"/>
              <w:right w:val="nil"/>
            </w:tcBorders>
            <w:shd w:val="clear" w:color="auto" w:fill="auto"/>
            <w:noWrap/>
            <w:vAlign w:val="bottom"/>
            <w:hideMark/>
          </w:tcPr>
          <w:p w14:paraId="590B742F"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93.1</w:t>
            </w:r>
          </w:p>
        </w:tc>
        <w:tc>
          <w:tcPr>
            <w:tcW w:w="1260" w:type="dxa"/>
            <w:tcBorders>
              <w:top w:val="nil"/>
              <w:left w:val="nil"/>
              <w:bottom w:val="nil"/>
              <w:right w:val="single" w:sz="4" w:space="0" w:color="auto"/>
            </w:tcBorders>
            <w:shd w:val="clear" w:color="auto" w:fill="auto"/>
            <w:noWrap/>
            <w:vAlign w:val="bottom"/>
            <w:hideMark/>
          </w:tcPr>
          <w:p w14:paraId="2775065E"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83.5</w:t>
            </w:r>
          </w:p>
        </w:tc>
        <w:tc>
          <w:tcPr>
            <w:tcW w:w="1260" w:type="dxa"/>
            <w:tcBorders>
              <w:top w:val="nil"/>
              <w:left w:val="nil"/>
              <w:bottom w:val="nil"/>
              <w:right w:val="nil"/>
            </w:tcBorders>
            <w:shd w:val="clear" w:color="000000" w:fill="D0CECE"/>
            <w:noWrap/>
            <w:vAlign w:val="bottom"/>
            <w:hideMark/>
          </w:tcPr>
          <w:p w14:paraId="4F820F13"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74</w:t>
            </w:r>
          </w:p>
        </w:tc>
        <w:tc>
          <w:tcPr>
            <w:tcW w:w="1260" w:type="dxa"/>
            <w:tcBorders>
              <w:top w:val="nil"/>
              <w:left w:val="nil"/>
              <w:bottom w:val="nil"/>
              <w:right w:val="single" w:sz="4" w:space="0" w:color="auto"/>
            </w:tcBorders>
            <w:shd w:val="clear" w:color="000000" w:fill="D0CECE"/>
            <w:noWrap/>
            <w:vAlign w:val="bottom"/>
            <w:hideMark/>
          </w:tcPr>
          <w:p w14:paraId="4B893E51"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75.2</w:t>
            </w:r>
          </w:p>
        </w:tc>
      </w:tr>
      <w:tr w:rsidR="00B85FDB" w:rsidRPr="00B85FDB" w14:paraId="0C1997AD"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0E5A2132"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w:t>
            </w:r>
          </w:p>
        </w:tc>
        <w:tc>
          <w:tcPr>
            <w:tcW w:w="1260" w:type="dxa"/>
            <w:tcBorders>
              <w:top w:val="nil"/>
              <w:left w:val="nil"/>
              <w:bottom w:val="nil"/>
              <w:right w:val="nil"/>
            </w:tcBorders>
            <w:shd w:val="clear" w:color="auto" w:fill="auto"/>
            <w:noWrap/>
            <w:vAlign w:val="bottom"/>
            <w:hideMark/>
          </w:tcPr>
          <w:p w14:paraId="32B82AE5"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70</w:t>
            </w:r>
          </w:p>
        </w:tc>
        <w:tc>
          <w:tcPr>
            <w:tcW w:w="1260" w:type="dxa"/>
            <w:tcBorders>
              <w:top w:val="nil"/>
              <w:left w:val="nil"/>
              <w:bottom w:val="nil"/>
              <w:right w:val="single" w:sz="4" w:space="0" w:color="auto"/>
            </w:tcBorders>
            <w:shd w:val="clear" w:color="auto" w:fill="auto"/>
            <w:noWrap/>
            <w:vAlign w:val="bottom"/>
            <w:hideMark/>
          </w:tcPr>
          <w:p w14:paraId="5E5261B7"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77.7</w:t>
            </w:r>
          </w:p>
        </w:tc>
        <w:tc>
          <w:tcPr>
            <w:tcW w:w="1260" w:type="dxa"/>
            <w:tcBorders>
              <w:top w:val="nil"/>
              <w:left w:val="nil"/>
              <w:bottom w:val="nil"/>
              <w:right w:val="nil"/>
            </w:tcBorders>
            <w:shd w:val="clear" w:color="000000" w:fill="D0CECE"/>
            <w:noWrap/>
            <w:vAlign w:val="bottom"/>
            <w:hideMark/>
          </w:tcPr>
          <w:p w14:paraId="197B911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87.7</w:t>
            </w:r>
          </w:p>
        </w:tc>
        <w:tc>
          <w:tcPr>
            <w:tcW w:w="1260" w:type="dxa"/>
            <w:tcBorders>
              <w:top w:val="nil"/>
              <w:left w:val="nil"/>
              <w:bottom w:val="nil"/>
              <w:right w:val="single" w:sz="4" w:space="0" w:color="auto"/>
            </w:tcBorders>
            <w:shd w:val="clear" w:color="000000" w:fill="D0CECE"/>
            <w:noWrap/>
            <w:vAlign w:val="bottom"/>
            <w:hideMark/>
          </w:tcPr>
          <w:p w14:paraId="347A9AA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83.5</w:t>
            </w:r>
          </w:p>
        </w:tc>
        <w:tc>
          <w:tcPr>
            <w:tcW w:w="1260" w:type="dxa"/>
            <w:tcBorders>
              <w:top w:val="nil"/>
              <w:left w:val="nil"/>
              <w:bottom w:val="nil"/>
              <w:right w:val="nil"/>
            </w:tcBorders>
            <w:shd w:val="clear" w:color="auto" w:fill="auto"/>
            <w:noWrap/>
            <w:vAlign w:val="bottom"/>
            <w:hideMark/>
          </w:tcPr>
          <w:p w14:paraId="5E8C4E23"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94.8</w:t>
            </w:r>
          </w:p>
        </w:tc>
        <w:tc>
          <w:tcPr>
            <w:tcW w:w="1260" w:type="dxa"/>
            <w:tcBorders>
              <w:top w:val="nil"/>
              <w:left w:val="nil"/>
              <w:bottom w:val="nil"/>
              <w:right w:val="single" w:sz="4" w:space="0" w:color="auto"/>
            </w:tcBorders>
            <w:shd w:val="clear" w:color="auto" w:fill="auto"/>
            <w:noWrap/>
            <w:vAlign w:val="bottom"/>
            <w:hideMark/>
          </w:tcPr>
          <w:p w14:paraId="479E8183"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80.2</w:t>
            </w:r>
          </w:p>
        </w:tc>
        <w:tc>
          <w:tcPr>
            <w:tcW w:w="1260" w:type="dxa"/>
            <w:tcBorders>
              <w:top w:val="nil"/>
              <w:left w:val="nil"/>
              <w:bottom w:val="nil"/>
              <w:right w:val="nil"/>
            </w:tcBorders>
            <w:shd w:val="clear" w:color="000000" w:fill="D0CECE"/>
            <w:noWrap/>
            <w:vAlign w:val="bottom"/>
            <w:hideMark/>
          </w:tcPr>
          <w:p w14:paraId="26DB4E8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79.8</w:t>
            </w:r>
          </w:p>
        </w:tc>
        <w:tc>
          <w:tcPr>
            <w:tcW w:w="1260" w:type="dxa"/>
            <w:tcBorders>
              <w:top w:val="nil"/>
              <w:left w:val="nil"/>
              <w:bottom w:val="nil"/>
              <w:right w:val="single" w:sz="4" w:space="0" w:color="auto"/>
            </w:tcBorders>
            <w:shd w:val="clear" w:color="000000" w:fill="D0CECE"/>
            <w:noWrap/>
            <w:vAlign w:val="bottom"/>
            <w:hideMark/>
          </w:tcPr>
          <w:p w14:paraId="4660D6B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81.2</w:t>
            </w:r>
          </w:p>
        </w:tc>
      </w:tr>
      <w:tr w:rsidR="00B85FDB" w:rsidRPr="00B85FDB" w14:paraId="07CF9780" w14:textId="77777777" w:rsidTr="00B85FDB">
        <w:trPr>
          <w:trHeight w:val="300"/>
        </w:trPr>
        <w:tc>
          <w:tcPr>
            <w:tcW w:w="460" w:type="dxa"/>
            <w:tcBorders>
              <w:top w:val="nil"/>
              <w:left w:val="nil"/>
              <w:bottom w:val="nil"/>
              <w:right w:val="single" w:sz="4" w:space="0" w:color="auto"/>
            </w:tcBorders>
            <w:shd w:val="clear" w:color="auto" w:fill="auto"/>
            <w:noWrap/>
            <w:vAlign w:val="bottom"/>
            <w:hideMark/>
          </w:tcPr>
          <w:p w14:paraId="4CDC8AF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w:t>
            </w:r>
          </w:p>
        </w:tc>
        <w:tc>
          <w:tcPr>
            <w:tcW w:w="1260" w:type="dxa"/>
            <w:tcBorders>
              <w:top w:val="nil"/>
              <w:left w:val="nil"/>
              <w:bottom w:val="single" w:sz="4" w:space="0" w:color="auto"/>
              <w:right w:val="nil"/>
            </w:tcBorders>
            <w:shd w:val="clear" w:color="auto" w:fill="auto"/>
            <w:noWrap/>
            <w:vAlign w:val="bottom"/>
            <w:hideMark/>
          </w:tcPr>
          <w:p w14:paraId="43CCB5CC"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68.6</w:t>
            </w:r>
          </w:p>
        </w:tc>
        <w:tc>
          <w:tcPr>
            <w:tcW w:w="1260" w:type="dxa"/>
            <w:tcBorders>
              <w:top w:val="nil"/>
              <w:left w:val="nil"/>
              <w:bottom w:val="single" w:sz="4" w:space="0" w:color="auto"/>
              <w:right w:val="single" w:sz="4" w:space="0" w:color="auto"/>
            </w:tcBorders>
            <w:shd w:val="clear" w:color="auto" w:fill="auto"/>
            <w:noWrap/>
            <w:vAlign w:val="bottom"/>
            <w:hideMark/>
          </w:tcPr>
          <w:p w14:paraId="1F671B31"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77.7</w:t>
            </w:r>
          </w:p>
        </w:tc>
        <w:tc>
          <w:tcPr>
            <w:tcW w:w="1260" w:type="dxa"/>
            <w:tcBorders>
              <w:top w:val="nil"/>
              <w:left w:val="nil"/>
              <w:bottom w:val="single" w:sz="4" w:space="0" w:color="auto"/>
              <w:right w:val="nil"/>
            </w:tcBorders>
            <w:shd w:val="clear" w:color="000000" w:fill="D0CECE"/>
            <w:noWrap/>
            <w:vAlign w:val="bottom"/>
            <w:hideMark/>
          </w:tcPr>
          <w:p w14:paraId="518AF699"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90.2</w:t>
            </w:r>
          </w:p>
        </w:tc>
        <w:tc>
          <w:tcPr>
            <w:tcW w:w="1260" w:type="dxa"/>
            <w:tcBorders>
              <w:top w:val="nil"/>
              <w:left w:val="nil"/>
              <w:bottom w:val="single" w:sz="4" w:space="0" w:color="auto"/>
              <w:right w:val="single" w:sz="4" w:space="0" w:color="auto"/>
            </w:tcBorders>
            <w:shd w:val="clear" w:color="000000" w:fill="D0CECE"/>
            <w:noWrap/>
            <w:vAlign w:val="bottom"/>
            <w:hideMark/>
          </w:tcPr>
          <w:p w14:paraId="5B233694"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87.1</w:t>
            </w:r>
          </w:p>
        </w:tc>
        <w:tc>
          <w:tcPr>
            <w:tcW w:w="1260" w:type="dxa"/>
            <w:tcBorders>
              <w:top w:val="nil"/>
              <w:left w:val="nil"/>
              <w:bottom w:val="single" w:sz="4" w:space="0" w:color="auto"/>
              <w:right w:val="nil"/>
            </w:tcBorders>
            <w:shd w:val="clear" w:color="auto" w:fill="auto"/>
            <w:noWrap/>
            <w:vAlign w:val="bottom"/>
            <w:hideMark/>
          </w:tcPr>
          <w:p w14:paraId="70F1B44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95.8</w:t>
            </w:r>
          </w:p>
        </w:tc>
        <w:tc>
          <w:tcPr>
            <w:tcW w:w="1260" w:type="dxa"/>
            <w:tcBorders>
              <w:top w:val="nil"/>
              <w:left w:val="nil"/>
              <w:bottom w:val="single" w:sz="4" w:space="0" w:color="auto"/>
              <w:right w:val="single" w:sz="4" w:space="0" w:color="auto"/>
            </w:tcBorders>
            <w:shd w:val="clear" w:color="auto" w:fill="auto"/>
            <w:noWrap/>
            <w:vAlign w:val="bottom"/>
            <w:hideMark/>
          </w:tcPr>
          <w:p w14:paraId="039E63A3"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95.5</w:t>
            </w:r>
          </w:p>
        </w:tc>
        <w:tc>
          <w:tcPr>
            <w:tcW w:w="1260" w:type="dxa"/>
            <w:tcBorders>
              <w:top w:val="nil"/>
              <w:left w:val="nil"/>
              <w:bottom w:val="single" w:sz="4" w:space="0" w:color="auto"/>
              <w:right w:val="nil"/>
            </w:tcBorders>
            <w:shd w:val="clear" w:color="000000" w:fill="D0CECE"/>
            <w:noWrap/>
            <w:vAlign w:val="bottom"/>
            <w:hideMark/>
          </w:tcPr>
          <w:p w14:paraId="6E61154A"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82.2</w:t>
            </w:r>
          </w:p>
        </w:tc>
        <w:tc>
          <w:tcPr>
            <w:tcW w:w="1260" w:type="dxa"/>
            <w:tcBorders>
              <w:top w:val="nil"/>
              <w:left w:val="nil"/>
              <w:bottom w:val="single" w:sz="4" w:space="0" w:color="auto"/>
              <w:right w:val="single" w:sz="4" w:space="0" w:color="auto"/>
            </w:tcBorders>
            <w:shd w:val="clear" w:color="000000" w:fill="D0CECE"/>
            <w:noWrap/>
            <w:vAlign w:val="bottom"/>
            <w:hideMark/>
          </w:tcPr>
          <w:p w14:paraId="1D7AB71D" w14:textId="77777777" w:rsidR="00B85FDB" w:rsidRPr="00B85FDB" w:rsidRDefault="00B85FDB" w:rsidP="00B85FDB">
            <w:pPr>
              <w:spacing w:after="0" w:line="240" w:lineRule="auto"/>
              <w:jc w:val="right"/>
              <w:rPr>
                <w:rFonts w:ascii="Calibri" w:eastAsia="Times New Roman" w:hAnsi="Calibri" w:cs="Calibri"/>
                <w:color w:val="000000"/>
              </w:rPr>
            </w:pPr>
            <w:r w:rsidRPr="00B85FDB">
              <w:rPr>
                <w:rFonts w:ascii="Calibri" w:eastAsia="Times New Roman" w:hAnsi="Calibri" w:cs="Calibri"/>
                <w:color w:val="000000"/>
              </w:rPr>
              <w:t>81.8</w:t>
            </w:r>
          </w:p>
        </w:tc>
      </w:tr>
    </w:tbl>
    <w:p w14:paraId="4FA9CFCA" w14:textId="7782F86E" w:rsidR="00B85FDB" w:rsidRDefault="00B85FDB" w:rsidP="00FE5C5A">
      <w:pPr>
        <w:rPr>
          <w:b/>
          <w:bCs/>
          <w:sz w:val="24"/>
          <w:szCs w:val="24"/>
        </w:rPr>
      </w:pPr>
    </w:p>
    <w:p w14:paraId="49D32934" w14:textId="77777777" w:rsidR="006B11D7" w:rsidRDefault="006B11D7" w:rsidP="00FE5C5A">
      <w:pPr>
        <w:rPr>
          <w:b/>
          <w:bCs/>
          <w:sz w:val="24"/>
          <w:szCs w:val="24"/>
        </w:rPr>
      </w:pPr>
    </w:p>
    <w:p w14:paraId="20A7C52F" w14:textId="77777777" w:rsidR="00B85FDB" w:rsidRDefault="00B85FDB" w:rsidP="00FE5C5A">
      <w:pPr>
        <w:rPr>
          <w:i/>
          <w:iCs/>
          <w:sz w:val="24"/>
          <w:szCs w:val="24"/>
          <w:u w:val="single"/>
        </w:rPr>
      </w:pPr>
    </w:p>
    <w:p w14:paraId="5D81054E" w14:textId="77777777" w:rsidR="00B85FDB" w:rsidRDefault="00B85FDB" w:rsidP="00FE5C5A">
      <w:pPr>
        <w:rPr>
          <w:i/>
          <w:iCs/>
          <w:sz w:val="24"/>
          <w:szCs w:val="24"/>
          <w:u w:val="single"/>
        </w:rPr>
      </w:pPr>
    </w:p>
    <w:p w14:paraId="7CFEE473" w14:textId="77777777" w:rsidR="00B85FDB" w:rsidRDefault="00B85FDB" w:rsidP="00FE5C5A">
      <w:pPr>
        <w:rPr>
          <w:i/>
          <w:iCs/>
          <w:sz w:val="24"/>
          <w:szCs w:val="24"/>
          <w:u w:val="single"/>
        </w:rPr>
      </w:pPr>
    </w:p>
    <w:p w14:paraId="5D850309" w14:textId="77777777" w:rsidR="00B85FDB" w:rsidRDefault="00B85FDB" w:rsidP="00FE5C5A">
      <w:pPr>
        <w:rPr>
          <w:i/>
          <w:iCs/>
          <w:sz w:val="24"/>
          <w:szCs w:val="24"/>
          <w:u w:val="single"/>
        </w:rPr>
      </w:pPr>
    </w:p>
    <w:p w14:paraId="6C4BD97C" w14:textId="77777777" w:rsidR="00B85FDB" w:rsidRDefault="00B85FDB" w:rsidP="00FE5C5A">
      <w:pPr>
        <w:rPr>
          <w:i/>
          <w:iCs/>
          <w:sz w:val="24"/>
          <w:szCs w:val="24"/>
          <w:u w:val="single"/>
        </w:rPr>
      </w:pPr>
    </w:p>
    <w:p w14:paraId="0E8203B3" w14:textId="77777777" w:rsidR="00B85FDB" w:rsidRDefault="00B85FDB" w:rsidP="00FE5C5A">
      <w:pPr>
        <w:rPr>
          <w:i/>
          <w:iCs/>
          <w:sz w:val="24"/>
          <w:szCs w:val="24"/>
          <w:u w:val="single"/>
        </w:rPr>
      </w:pPr>
    </w:p>
    <w:p w14:paraId="7482C5D5" w14:textId="77777777" w:rsidR="00B85FDB" w:rsidRDefault="00B85FDB" w:rsidP="00FE5C5A">
      <w:pPr>
        <w:rPr>
          <w:i/>
          <w:iCs/>
          <w:sz w:val="24"/>
          <w:szCs w:val="24"/>
          <w:u w:val="single"/>
        </w:rPr>
      </w:pPr>
    </w:p>
    <w:p w14:paraId="260F9654" w14:textId="77777777" w:rsidR="00B85FDB" w:rsidRDefault="00B85FDB" w:rsidP="00FE5C5A">
      <w:pPr>
        <w:rPr>
          <w:i/>
          <w:iCs/>
          <w:sz w:val="24"/>
          <w:szCs w:val="24"/>
          <w:u w:val="single"/>
        </w:rPr>
      </w:pPr>
    </w:p>
    <w:p w14:paraId="06801B6B" w14:textId="77777777" w:rsidR="00B85FDB" w:rsidRDefault="00B85FDB" w:rsidP="00FE5C5A">
      <w:pPr>
        <w:rPr>
          <w:i/>
          <w:iCs/>
          <w:sz w:val="24"/>
          <w:szCs w:val="24"/>
          <w:u w:val="single"/>
        </w:rPr>
      </w:pPr>
    </w:p>
    <w:p w14:paraId="0B139139" w14:textId="77777777" w:rsidR="00B85FDB" w:rsidRDefault="00B85FDB" w:rsidP="00FE5C5A">
      <w:pPr>
        <w:rPr>
          <w:i/>
          <w:iCs/>
          <w:sz w:val="24"/>
          <w:szCs w:val="24"/>
          <w:u w:val="single"/>
        </w:rPr>
      </w:pPr>
    </w:p>
    <w:p w14:paraId="6F269C30" w14:textId="77777777" w:rsidR="00B85FDB" w:rsidRDefault="00B85FDB" w:rsidP="00FE5C5A">
      <w:pPr>
        <w:rPr>
          <w:i/>
          <w:iCs/>
          <w:sz w:val="24"/>
          <w:szCs w:val="24"/>
          <w:u w:val="single"/>
        </w:rPr>
      </w:pPr>
    </w:p>
    <w:p w14:paraId="7497E209" w14:textId="08B6FD78" w:rsidR="006B11D7" w:rsidRPr="00C60C48" w:rsidRDefault="00C60C48" w:rsidP="00FE5C5A">
      <w:pPr>
        <w:rPr>
          <w:i/>
          <w:iCs/>
          <w:sz w:val="24"/>
          <w:szCs w:val="24"/>
          <w:u w:val="single"/>
        </w:rPr>
      </w:pPr>
      <w:r>
        <w:rPr>
          <w:i/>
          <w:iCs/>
          <w:sz w:val="24"/>
          <w:szCs w:val="24"/>
          <w:u w:val="single"/>
        </w:rPr>
        <w:t>Figure 2</w:t>
      </w:r>
    </w:p>
    <w:p w14:paraId="58C5DBCF" w14:textId="2A031EB7" w:rsidR="006B11D7" w:rsidRDefault="00C60C48" w:rsidP="00FE5C5A">
      <w:pPr>
        <w:rPr>
          <w:b/>
          <w:bCs/>
          <w:sz w:val="24"/>
          <w:szCs w:val="24"/>
        </w:rPr>
      </w:pPr>
      <w:r>
        <w:rPr>
          <w:b/>
          <w:bCs/>
          <w:noProof/>
          <w:sz w:val="24"/>
          <w:szCs w:val="24"/>
        </w:rPr>
        <w:lastRenderedPageBreak/>
        <w:drawing>
          <wp:inline distT="0" distB="0" distL="0" distR="0" wp14:anchorId="41B51A04" wp14:editId="782E79C9">
            <wp:extent cx="6706235" cy="40297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6235" cy="4029710"/>
                    </a:xfrm>
                    <a:prstGeom prst="rect">
                      <a:avLst/>
                    </a:prstGeom>
                    <a:noFill/>
                  </pic:spPr>
                </pic:pic>
              </a:graphicData>
            </a:graphic>
          </wp:inline>
        </w:drawing>
      </w:r>
    </w:p>
    <w:p w14:paraId="2BFA51F3" w14:textId="77777777" w:rsidR="006B11D7" w:rsidRDefault="006B11D7" w:rsidP="00FE5C5A">
      <w:pPr>
        <w:rPr>
          <w:b/>
          <w:bCs/>
          <w:sz w:val="24"/>
          <w:szCs w:val="24"/>
        </w:rPr>
      </w:pPr>
    </w:p>
    <w:p w14:paraId="0FDBA3C8" w14:textId="77777777" w:rsidR="006B11D7" w:rsidRDefault="006B11D7" w:rsidP="00FE5C5A">
      <w:pPr>
        <w:rPr>
          <w:b/>
          <w:bCs/>
          <w:sz w:val="24"/>
          <w:szCs w:val="24"/>
        </w:rPr>
      </w:pPr>
    </w:p>
    <w:p w14:paraId="23066EFE" w14:textId="77777777" w:rsidR="00C60C48" w:rsidRDefault="00C60C48" w:rsidP="00FE5C5A">
      <w:pPr>
        <w:rPr>
          <w:i/>
          <w:iCs/>
          <w:sz w:val="24"/>
          <w:szCs w:val="24"/>
          <w:u w:val="single"/>
        </w:rPr>
      </w:pPr>
    </w:p>
    <w:p w14:paraId="5B5AF80B" w14:textId="77777777" w:rsidR="00C60C48" w:rsidRDefault="00C60C48" w:rsidP="00FE5C5A">
      <w:pPr>
        <w:rPr>
          <w:i/>
          <w:iCs/>
          <w:sz w:val="24"/>
          <w:szCs w:val="24"/>
          <w:u w:val="single"/>
        </w:rPr>
      </w:pPr>
    </w:p>
    <w:p w14:paraId="0495BE79" w14:textId="77777777" w:rsidR="00C60C48" w:rsidRDefault="00C60C48" w:rsidP="00FE5C5A">
      <w:pPr>
        <w:rPr>
          <w:i/>
          <w:iCs/>
          <w:sz w:val="24"/>
          <w:szCs w:val="24"/>
          <w:u w:val="single"/>
        </w:rPr>
      </w:pPr>
    </w:p>
    <w:p w14:paraId="7464C4DC" w14:textId="77777777" w:rsidR="00C60C48" w:rsidRDefault="00C60C48" w:rsidP="00FE5C5A">
      <w:pPr>
        <w:rPr>
          <w:i/>
          <w:iCs/>
          <w:sz w:val="24"/>
          <w:szCs w:val="24"/>
          <w:u w:val="single"/>
        </w:rPr>
      </w:pPr>
    </w:p>
    <w:p w14:paraId="512D1BF5" w14:textId="77777777" w:rsidR="00C60C48" w:rsidRDefault="00C60C48" w:rsidP="00FE5C5A">
      <w:pPr>
        <w:rPr>
          <w:i/>
          <w:iCs/>
          <w:sz w:val="24"/>
          <w:szCs w:val="24"/>
          <w:u w:val="single"/>
        </w:rPr>
      </w:pPr>
    </w:p>
    <w:p w14:paraId="07B91775" w14:textId="58E12AA0" w:rsidR="006B11D7" w:rsidRDefault="00C60C48" w:rsidP="00FE5C5A">
      <w:pPr>
        <w:rPr>
          <w:i/>
          <w:iCs/>
          <w:sz w:val="24"/>
          <w:szCs w:val="24"/>
          <w:u w:val="single"/>
        </w:rPr>
      </w:pPr>
      <w:r>
        <w:rPr>
          <w:i/>
          <w:iCs/>
          <w:sz w:val="24"/>
          <w:szCs w:val="24"/>
          <w:u w:val="single"/>
        </w:rPr>
        <w:lastRenderedPageBreak/>
        <w:t>Figure 3</w:t>
      </w:r>
    </w:p>
    <w:p w14:paraId="5030B805" w14:textId="77E03DC8" w:rsidR="00C60C48" w:rsidRDefault="00C60C48" w:rsidP="00FE5C5A">
      <w:pPr>
        <w:rPr>
          <w:i/>
          <w:iCs/>
          <w:sz w:val="24"/>
          <w:szCs w:val="24"/>
          <w:u w:val="single"/>
        </w:rPr>
      </w:pPr>
      <w:r>
        <w:rPr>
          <w:i/>
          <w:iCs/>
          <w:noProof/>
          <w:sz w:val="24"/>
          <w:szCs w:val="24"/>
          <w:u w:val="single"/>
        </w:rPr>
        <w:drawing>
          <wp:inline distT="0" distB="0" distL="0" distR="0" wp14:anchorId="6EE1E9DF" wp14:editId="664172DC">
            <wp:extent cx="6694170" cy="4023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94170" cy="4023995"/>
                    </a:xfrm>
                    <a:prstGeom prst="rect">
                      <a:avLst/>
                    </a:prstGeom>
                    <a:noFill/>
                  </pic:spPr>
                </pic:pic>
              </a:graphicData>
            </a:graphic>
          </wp:inline>
        </w:drawing>
      </w:r>
    </w:p>
    <w:p w14:paraId="2D351104" w14:textId="67DAA3E3" w:rsidR="00C60C48" w:rsidRDefault="00C60C48" w:rsidP="00FE5C5A">
      <w:pPr>
        <w:rPr>
          <w:i/>
          <w:iCs/>
          <w:sz w:val="24"/>
          <w:szCs w:val="24"/>
          <w:u w:val="single"/>
        </w:rPr>
      </w:pPr>
    </w:p>
    <w:p w14:paraId="07EC9B1B" w14:textId="77777777" w:rsidR="00C60C48" w:rsidRDefault="00C60C48" w:rsidP="00FE5C5A">
      <w:pPr>
        <w:rPr>
          <w:i/>
          <w:iCs/>
          <w:sz w:val="24"/>
          <w:szCs w:val="24"/>
          <w:u w:val="single"/>
        </w:rPr>
      </w:pPr>
    </w:p>
    <w:p w14:paraId="79908E9E" w14:textId="77777777" w:rsidR="00C60C48" w:rsidRDefault="00C60C48" w:rsidP="00FE5C5A">
      <w:pPr>
        <w:rPr>
          <w:i/>
          <w:iCs/>
          <w:sz w:val="24"/>
          <w:szCs w:val="24"/>
          <w:u w:val="single"/>
        </w:rPr>
      </w:pPr>
    </w:p>
    <w:p w14:paraId="06B3BA1C" w14:textId="77777777" w:rsidR="00C60C48" w:rsidRDefault="00C60C48" w:rsidP="00FE5C5A">
      <w:pPr>
        <w:rPr>
          <w:i/>
          <w:iCs/>
          <w:sz w:val="24"/>
          <w:szCs w:val="24"/>
          <w:u w:val="single"/>
        </w:rPr>
      </w:pPr>
    </w:p>
    <w:p w14:paraId="2BD58B8E" w14:textId="77777777" w:rsidR="00C60C48" w:rsidRDefault="00C60C48" w:rsidP="00FE5C5A">
      <w:pPr>
        <w:rPr>
          <w:i/>
          <w:iCs/>
          <w:sz w:val="24"/>
          <w:szCs w:val="24"/>
          <w:u w:val="single"/>
        </w:rPr>
      </w:pPr>
    </w:p>
    <w:p w14:paraId="4D95B412" w14:textId="77777777" w:rsidR="00C60C48" w:rsidRDefault="00C60C48" w:rsidP="00FE5C5A">
      <w:pPr>
        <w:rPr>
          <w:i/>
          <w:iCs/>
          <w:sz w:val="24"/>
          <w:szCs w:val="24"/>
          <w:u w:val="single"/>
        </w:rPr>
      </w:pPr>
    </w:p>
    <w:p w14:paraId="7E8C81A7" w14:textId="77777777" w:rsidR="00C60C48" w:rsidRDefault="00C60C48" w:rsidP="00FE5C5A">
      <w:pPr>
        <w:rPr>
          <w:i/>
          <w:iCs/>
          <w:sz w:val="24"/>
          <w:szCs w:val="24"/>
          <w:u w:val="single"/>
        </w:rPr>
      </w:pPr>
    </w:p>
    <w:p w14:paraId="49CE28B6" w14:textId="032A0849" w:rsidR="00C60C48" w:rsidRDefault="00C60C48" w:rsidP="00FE5C5A">
      <w:pPr>
        <w:rPr>
          <w:i/>
          <w:iCs/>
          <w:sz w:val="24"/>
          <w:szCs w:val="24"/>
          <w:u w:val="single"/>
        </w:rPr>
      </w:pPr>
      <w:r>
        <w:rPr>
          <w:i/>
          <w:iCs/>
          <w:sz w:val="24"/>
          <w:szCs w:val="24"/>
          <w:u w:val="single"/>
        </w:rPr>
        <w:t>Figure 4</w:t>
      </w:r>
    </w:p>
    <w:p w14:paraId="4EC6BEFC" w14:textId="172D6D03" w:rsidR="00C60C48" w:rsidRDefault="00C60C48" w:rsidP="00FE5C5A">
      <w:pPr>
        <w:rPr>
          <w:i/>
          <w:iCs/>
          <w:sz w:val="24"/>
          <w:szCs w:val="24"/>
          <w:u w:val="single"/>
        </w:rPr>
      </w:pPr>
      <w:r>
        <w:rPr>
          <w:i/>
          <w:iCs/>
          <w:noProof/>
          <w:sz w:val="24"/>
          <w:szCs w:val="24"/>
          <w:u w:val="single"/>
        </w:rPr>
        <w:drawing>
          <wp:inline distT="0" distB="0" distL="0" distR="0" wp14:anchorId="3AAD26BA" wp14:editId="6BE04E6C">
            <wp:extent cx="6718300" cy="4036060"/>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4036060"/>
                    </a:xfrm>
                    <a:prstGeom prst="rect">
                      <a:avLst/>
                    </a:prstGeom>
                    <a:noFill/>
                  </pic:spPr>
                </pic:pic>
              </a:graphicData>
            </a:graphic>
          </wp:inline>
        </w:drawing>
      </w:r>
    </w:p>
    <w:p w14:paraId="57C18BC1" w14:textId="44BBD598" w:rsidR="00C60C48" w:rsidRDefault="00C60C48" w:rsidP="00FE5C5A">
      <w:pPr>
        <w:rPr>
          <w:i/>
          <w:iCs/>
          <w:sz w:val="24"/>
          <w:szCs w:val="24"/>
          <w:u w:val="single"/>
        </w:rPr>
      </w:pPr>
    </w:p>
    <w:p w14:paraId="74FE0953" w14:textId="50B89E93" w:rsidR="00C60C48" w:rsidRDefault="00C60C48" w:rsidP="00FE5C5A">
      <w:pPr>
        <w:rPr>
          <w:i/>
          <w:iCs/>
          <w:sz w:val="24"/>
          <w:szCs w:val="24"/>
          <w:u w:val="single"/>
        </w:rPr>
      </w:pPr>
    </w:p>
    <w:p w14:paraId="55A85D1F" w14:textId="3709416F" w:rsidR="00C60C48" w:rsidRDefault="00C60C48" w:rsidP="00FE5C5A">
      <w:pPr>
        <w:rPr>
          <w:i/>
          <w:iCs/>
          <w:sz w:val="24"/>
          <w:szCs w:val="24"/>
          <w:u w:val="single"/>
        </w:rPr>
      </w:pPr>
    </w:p>
    <w:p w14:paraId="79200AA0" w14:textId="5D448B04" w:rsidR="00C60C48" w:rsidRDefault="00C60C48" w:rsidP="00FE5C5A">
      <w:pPr>
        <w:rPr>
          <w:i/>
          <w:iCs/>
          <w:sz w:val="24"/>
          <w:szCs w:val="24"/>
          <w:u w:val="single"/>
        </w:rPr>
      </w:pPr>
    </w:p>
    <w:p w14:paraId="29961210" w14:textId="7D3FC215" w:rsidR="00C60C48" w:rsidRDefault="00C60C48" w:rsidP="00FE5C5A">
      <w:pPr>
        <w:rPr>
          <w:i/>
          <w:iCs/>
          <w:sz w:val="24"/>
          <w:szCs w:val="24"/>
          <w:u w:val="single"/>
        </w:rPr>
      </w:pPr>
    </w:p>
    <w:p w14:paraId="12058A68" w14:textId="77777777" w:rsidR="00C60C48" w:rsidRDefault="00C60C48" w:rsidP="00FE5C5A">
      <w:pPr>
        <w:rPr>
          <w:i/>
          <w:iCs/>
          <w:sz w:val="24"/>
          <w:szCs w:val="24"/>
          <w:u w:val="single"/>
        </w:rPr>
      </w:pPr>
    </w:p>
    <w:p w14:paraId="2DF18224" w14:textId="29703139" w:rsidR="00C60C48" w:rsidRPr="00C60C48" w:rsidRDefault="00C60C48" w:rsidP="00FE5C5A">
      <w:pPr>
        <w:rPr>
          <w:i/>
          <w:iCs/>
          <w:sz w:val="24"/>
          <w:szCs w:val="24"/>
          <w:u w:val="single"/>
        </w:rPr>
      </w:pPr>
      <w:r>
        <w:rPr>
          <w:i/>
          <w:iCs/>
          <w:sz w:val="24"/>
          <w:szCs w:val="24"/>
          <w:u w:val="single"/>
        </w:rPr>
        <w:t>Figure 5</w:t>
      </w:r>
    </w:p>
    <w:p w14:paraId="51776A45" w14:textId="4DADCBA1" w:rsidR="006B11D7" w:rsidRDefault="00C60C48" w:rsidP="00FE5C5A">
      <w:pPr>
        <w:rPr>
          <w:b/>
          <w:bCs/>
          <w:sz w:val="24"/>
          <w:szCs w:val="24"/>
        </w:rPr>
      </w:pPr>
      <w:r>
        <w:rPr>
          <w:b/>
          <w:bCs/>
          <w:noProof/>
          <w:sz w:val="24"/>
          <w:szCs w:val="24"/>
        </w:rPr>
        <w:drawing>
          <wp:inline distT="0" distB="0" distL="0" distR="0" wp14:anchorId="0D1D4AC8" wp14:editId="78D2E526">
            <wp:extent cx="6712585" cy="40297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12585" cy="4029710"/>
                    </a:xfrm>
                    <a:prstGeom prst="rect">
                      <a:avLst/>
                    </a:prstGeom>
                    <a:noFill/>
                  </pic:spPr>
                </pic:pic>
              </a:graphicData>
            </a:graphic>
          </wp:inline>
        </w:drawing>
      </w:r>
    </w:p>
    <w:p w14:paraId="18D48A8F" w14:textId="77777777" w:rsidR="006B11D7" w:rsidRDefault="006B11D7" w:rsidP="00FE5C5A">
      <w:pPr>
        <w:rPr>
          <w:b/>
          <w:bCs/>
          <w:sz w:val="24"/>
          <w:szCs w:val="24"/>
        </w:rPr>
      </w:pPr>
    </w:p>
    <w:p w14:paraId="6AC04981" w14:textId="77777777" w:rsidR="006B11D7" w:rsidRDefault="006B11D7" w:rsidP="00FE5C5A">
      <w:pPr>
        <w:rPr>
          <w:b/>
          <w:bCs/>
          <w:sz w:val="24"/>
          <w:szCs w:val="24"/>
        </w:rPr>
      </w:pPr>
    </w:p>
    <w:p w14:paraId="7B768774" w14:textId="77777777" w:rsidR="006B11D7" w:rsidRDefault="006B11D7" w:rsidP="00FE5C5A">
      <w:pPr>
        <w:rPr>
          <w:b/>
          <w:bCs/>
          <w:sz w:val="24"/>
          <w:szCs w:val="24"/>
        </w:rPr>
      </w:pPr>
    </w:p>
    <w:p w14:paraId="23730ED2" w14:textId="77777777" w:rsidR="006B11D7" w:rsidRDefault="006B11D7" w:rsidP="00FE5C5A">
      <w:pPr>
        <w:rPr>
          <w:b/>
          <w:bCs/>
          <w:sz w:val="24"/>
          <w:szCs w:val="24"/>
        </w:rPr>
      </w:pPr>
    </w:p>
    <w:p w14:paraId="42EA5ADD" w14:textId="77777777" w:rsidR="006B11D7" w:rsidRDefault="006B11D7" w:rsidP="00FE5C5A">
      <w:pPr>
        <w:rPr>
          <w:b/>
          <w:bCs/>
          <w:sz w:val="24"/>
          <w:szCs w:val="24"/>
        </w:rPr>
      </w:pPr>
    </w:p>
    <w:p w14:paraId="0329B23D" w14:textId="77777777" w:rsidR="006B11D7" w:rsidRDefault="006B11D7" w:rsidP="00FE5C5A">
      <w:pPr>
        <w:rPr>
          <w:b/>
          <w:bCs/>
          <w:sz w:val="24"/>
          <w:szCs w:val="24"/>
        </w:rPr>
      </w:pPr>
    </w:p>
    <w:p w14:paraId="02264669" w14:textId="77777777" w:rsidR="00C60C48" w:rsidRDefault="00C60C48" w:rsidP="00FE5C5A">
      <w:pPr>
        <w:rPr>
          <w:b/>
          <w:bCs/>
          <w:sz w:val="24"/>
          <w:szCs w:val="24"/>
        </w:rPr>
        <w:sectPr w:rsidR="00C60C48" w:rsidSect="00C60C48">
          <w:pgSz w:w="15840" w:h="12240" w:orient="landscape"/>
          <w:pgMar w:top="1008" w:right="1440" w:bottom="1008" w:left="1440" w:header="720" w:footer="720" w:gutter="0"/>
          <w:cols w:space="720"/>
          <w:docGrid w:linePitch="360"/>
        </w:sectPr>
      </w:pPr>
    </w:p>
    <w:p w14:paraId="2B444AD4" w14:textId="4FBD4F61" w:rsidR="00BD2199" w:rsidRDefault="00BD2199" w:rsidP="00FE5C5A">
      <w:pPr>
        <w:rPr>
          <w:b/>
          <w:bCs/>
          <w:sz w:val="24"/>
          <w:szCs w:val="24"/>
        </w:rPr>
      </w:pPr>
      <w:r w:rsidRPr="005657C5">
        <w:rPr>
          <w:b/>
          <w:bCs/>
          <w:sz w:val="24"/>
          <w:szCs w:val="24"/>
        </w:rPr>
        <w:lastRenderedPageBreak/>
        <w:t xml:space="preserve">6. </w:t>
      </w:r>
      <w:r w:rsidR="005657C5" w:rsidRPr="005657C5">
        <w:rPr>
          <w:b/>
          <w:bCs/>
          <w:sz w:val="24"/>
          <w:szCs w:val="24"/>
        </w:rPr>
        <w:t>Concluding Thoughts</w:t>
      </w:r>
      <w:r w:rsidR="00B85FDB">
        <w:rPr>
          <w:b/>
          <w:bCs/>
          <w:sz w:val="24"/>
          <w:szCs w:val="24"/>
        </w:rPr>
        <w:t xml:space="preserve"> (Incomplete)</w:t>
      </w:r>
    </w:p>
    <w:p w14:paraId="2C9B23F1" w14:textId="578009A7" w:rsidR="00B85FDB" w:rsidRDefault="00B85FDB" w:rsidP="00FE5C5A">
      <w:pPr>
        <w:rPr>
          <w:sz w:val="24"/>
          <w:szCs w:val="24"/>
        </w:rPr>
      </w:pPr>
      <w:r>
        <w:rPr>
          <w:sz w:val="24"/>
          <w:szCs w:val="24"/>
        </w:rPr>
        <w:t>Our results aren’t particularly strong, but we do think they suggest that increased rates of participation among nationalist voters may be part of the explanation for the rise of the radical right in Europe.</w:t>
      </w:r>
    </w:p>
    <w:p w14:paraId="65FF2355" w14:textId="07FB61A7" w:rsidR="00B85FDB" w:rsidRDefault="00B85FDB" w:rsidP="00FE5C5A">
      <w:pPr>
        <w:rPr>
          <w:sz w:val="24"/>
          <w:szCs w:val="24"/>
        </w:rPr>
      </w:pPr>
    </w:p>
    <w:p w14:paraId="51DDFB1D" w14:textId="61FDA10E" w:rsidR="00B85FDB" w:rsidRPr="00B85FDB" w:rsidRDefault="00B85FDB" w:rsidP="00FE5C5A">
      <w:pPr>
        <w:rPr>
          <w:sz w:val="24"/>
          <w:szCs w:val="24"/>
        </w:rPr>
      </w:pPr>
      <w:r>
        <w:rPr>
          <w:sz w:val="24"/>
          <w:szCs w:val="24"/>
        </w:rPr>
        <w:t>Future research could look at particular critical junctures – important events, rise of specific actors or parties – and see if those with nationalist attitudes are more likely to show up when the ideological positions they align with (nationalist) are being activated, either through exogenous shocks like conflict or terrorism, or endogenous shocks like mobilization.</w:t>
      </w:r>
    </w:p>
    <w:p w14:paraId="502D8DCD" w14:textId="12C12D12" w:rsidR="00A409BB" w:rsidRDefault="00A409BB" w:rsidP="00FE5C5A">
      <w:pPr>
        <w:rPr>
          <w:sz w:val="24"/>
          <w:szCs w:val="24"/>
        </w:rPr>
      </w:pPr>
    </w:p>
    <w:p w14:paraId="17EAD618" w14:textId="2724264B" w:rsidR="003E2F9C" w:rsidRDefault="003E2F9C" w:rsidP="00FE5C5A">
      <w:pPr>
        <w:rPr>
          <w:sz w:val="24"/>
          <w:szCs w:val="24"/>
        </w:rPr>
      </w:pPr>
    </w:p>
    <w:p w14:paraId="30DDE157" w14:textId="4B1A9521" w:rsidR="003E2F9C" w:rsidRDefault="003E2F9C" w:rsidP="00FE5C5A">
      <w:pPr>
        <w:rPr>
          <w:sz w:val="24"/>
          <w:szCs w:val="24"/>
        </w:rPr>
      </w:pPr>
    </w:p>
    <w:p w14:paraId="55D7FA9D" w14:textId="59B63AE4" w:rsidR="003E2F9C" w:rsidRDefault="003E2F9C" w:rsidP="00FE5C5A">
      <w:pPr>
        <w:rPr>
          <w:sz w:val="24"/>
          <w:szCs w:val="24"/>
        </w:rPr>
      </w:pPr>
    </w:p>
    <w:p w14:paraId="3EFE1F36" w14:textId="3600210D" w:rsidR="003E2F9C" w:rsidRDefault="003E2F9C" w:rsidP="00FE5C5A">
      <w:pPr>
        <w:rPr>
          <w:sz w:val="24"/>
          <w:szCs w:val="24"/>
        </w:rPr>
      </w:pPr>
    </w:p>
    <w:p w14:paraId="3E00BFAC" w14:textId="3DC5FC0E" w:rsidR="003E2F9C" w:rsidRDefault="003E2F9C" w:rsidP="00FE5C5A">
      <w:pPr>
        <w:rPr>
          <w:sz w:val="24"/>
          <w:szCs w:val="24"/>
        </w:rPr>
      </w:pPr>
    </w:p>
    <w:p w14:paraId="6F63855E" w14:textId="580050A5" w:rsidR="003E2F9C" w:rsidRDefault="003E2F9C" w:rsidP="00FE5C5A">
      <w:pPr>
        <w:rPr>
          <w:sz w:val="24"/>
          <w:szCs w:val="24"/>
        </w:rPr>
      </w:pPr>
    </w:p>
    <w:p w14:paraId="1F22C08E" w14:textId="1341CFAC" w:rsidR="003E2F9C" w:rsidRDefault="003E2F9C" w:rsidP="00FE5C5A">
      <w:pPr>
        <w:rPr>
          <w:sz w:val="24"/>
          <w:szCs w:val="24"/>
        </w:rPr>
      </w:pPr>
    </w:p>
    <w:p w14:paraId="5EC8A2EB" w14:textId="521EFC5E" w:rsidR="003E2F9C" w:rsidRDefault="003E2F9C" w:rsidP="00FE5C5A">
      <w:pPr>
        <w:rPr>
          <w:sz w:val="24"/>
          <w:szCs w:val="24"/>
        </w:rPr>
      </w:pPr>
    </w:p>
    <w:p w14:paraId="09C48AAD" w14:textId="5408D13C" w:rsidR="003E2F9C" w:rsidRDefault="003E2F9C" w:rsidP="00FE5C5A">
      <w:pPr>
        <w:rPr>
          <w:sz w:val="24"/>
          <w:szCs w:val="24"/>
        </w:rPr>
      </w:pPr>
    </w:p>
    <w:p w14:paraId="714FC216" w14:textId="1BD5B749" w:rsidR="003E2F9C" w:rsidRDefault="003E2F9C" w:rsidP="00FE5C5A">
      <w:pPr>
        <w:rPr>
          <w:sz w:val="24"/>
          <w:szCs w:val="24"/>
        </w:rPr>
      </w:pPr>
    </w:p>
    <w:p w14:paraId="70E53792" w14:textId="2491C3E4" w:rsidR="003E2F9C" w:rsidRDefault="003E2F9C" w:rsidP="00FE5C5A">
      <w:pPr>
        <w:rPr>
          <w:sz w:val="24"/>
          <w:szCs w:val="24"/>
        </w:rPr>
      </w:pPr>
    </w:p>
    <w:p w14:paraId="0714D261" w14:textId="44D790D4" w:rsidR="003E2F9C" w:rsidRDefault="003E2F9C" w:rsidP="00FE5C5A">
      <w:pPr>
        <w:rPr>
          <w:sz w:val="24"/>
          <w:szCs w:val="24"/>
        </w:rPr>
      </w:pPr>
    </w:p>
    <w:p w14:paraId="1CDBFAB2" w14:textId="3E2D44CC" w:rsidR="003E2F9C" w:rsidRDefault="003E2F9C" w:rsidP="00FE5C5A">
      <w:pPr>
        <w:rPr>
          <w:sz w:val="24"/>
          <w:szCs w:val="24"/>
        </w:rPr>
      </w:pPr>
    </w:p>
    <w:p w14:paraId="69B5208C" w14:textId="64AE7DEA" w:rsidR="003E2F9C" w:rsidRDefault="003E2F9C" w:rsidP="00FE5C5A">
      <w:pPr>
        <w:rPr>
          <w:sz w:val="24"/>
          <w:szCs w:val="24"/>
        </w:rPr>
      </w:pPr>
    </w:p>
    <w:p w14:paraId="152158CC" w14:textId="3B5834F8" w:rsidR="003E2F9C" w:rsidRDefault="003E2F9C" w:rsidP="00FE5C5A">
      <w:pPr>
        <w:rPr>
          <w:sz w:val="24"/>
          <w:szCs w:val="24"/>
        </w:rPr>
      </w:pPr>
    </w:p>
    <w:p w14:paraId="41F4E409" w14:textId="6ADD1438" w:rsidR="003E2F9C" w:rsidRDefault="003E2F9C" w:rsidP="00FE5C5A">
      <w:pPr>
        <w:rPr>
          <w:sz w:val="24"/>
          <w:szCs w:val="24"/>
        </w:rPr>
      </w:pPr>
    </w:p>
    <w:p w14:paraId="3E5D9836" w14:textId="27A530CD" w:rsidR="003E2F9C" w:rsidRDefault="003E2F9C" w:rsidP="00FE5C5A">
      <w:pPr>
        <w:rPr>
          <w:sz w:val="24"/>
          <w:szCs w:val="24"/>
        </w:rPr>
      </w:pPr>
    </w:p>
    <w:p w14:paraId="074DF281" w14:textId="545D0405" w:rsidR="003E2F9C" w:rsidRDefault="003E2F9C" w:rsidP="00FE5C5A">
      <w:pPr>
        <w:rPr>
          <w:sz w:val="24"/>
          <w:szCs w:val="24"/>
        </w:rPr>
      </w:pPr>
    </w:p>
    <w:p w14:paraId="0F7026C2" w14:textId="5C8BAC61" w:rsidR="003E2F9C" w:rsidRDefault="003E2F9C" w:rsidP="00FE5C5A">
      <w:pPr>
        <w:rPr>
          <w:sz w:val="24"/>
          <w:szCs w:val="24"/>
        </w:rPr>
      </w:pPr>
    </w:p>
    <w:p w14:paraId="303F21BE" w14:textId="07BAD9E4" w:rsidR="003E2F9C" w:rsidRPr="003E2F9C" w:rsidRDefault="003E2F9C" w:rsidP="003E2F9C">
      <w:pPr>
        <w:rPr>
          <w:b/>
          <w:bCs/>
          <w:sz w:val="24"/>
          <w:szCs w:val="24"/>
          <w:u w:val="single"/>
        </w:rPr>
      </w:pPr>
      <w:r w:rsidRPr="003E2F9C">
        <w:rPr>
          <w:b/>
          <w:bCs/>
          <w:sz w:val="24"/>
          <w:szCs w:val="24"/>
          <w:u w:val="single"/>
        </w:rPr>
        <w:lastRenderedPageBreak/>
        <w:t>Works Cited</w:t>
      </w:r>
    </w:p>
    <w:p w14:paraId="00FE356B" w14:textId="77777777" w:rsidR="003E2F9C" w:rsidRPr="003E2F9C" w:rsidRDefault="003E2F9C" w:rsidP="003E2F9C">
      <w:pPr>
        <w:rPr>
          <w:sz w:val="24"/>
          <w:szCs w:val="24"/>
        </w:rPr>
      </w:pPr>
      <w:r w:rsidRPr="003E2F9C">
        <w:rPr>
          <w:sz w:val="24"/>
          <w:szCs w:val="24"/>
        </w:rPr>
        <w:t>DOMMETT, K. (2017). United Kingdom. European Journal of Political Research Political Data Yearbook. 56(1): 275-282.</w:t>
      </w:r>
    </w:p>
    <w:p w14:paraId="3353F09C" w14:textId="77777777" w:rsidR="003E2F9C" w:rsidRPr="003E2F9C" w:rsidRDefault="003E2F9C" w:rsidP="003E2F9C">
      <w:pPr>
        <w:rPr>
          <w:sz w:val="24"/>
          <w:szCs w:val="24"/>
        </w:rPr>
      </w:pPr>
      <w:r w:rsidRPr="003E2F9C">
        <w:rPr>
          <w:sz w:val="24"/>
          <w:szCs w:val="24"/>
        </w:rPr>
        <w:t>WIDFELDT, A. (2017). Sweden. European Journal of Political Research Political Data Yearbook. 56(1): 260-266.</w:t>
      </w:r>
    </w:p>
    <w:p w14:paraId="364266FE" w14:textId="77777777" w:rsidR="003E2F9C" w:rsidRPr="003E2F9C" w:rsidRDefault="003E2F9C" w:rsidP="003E2F9C">
      <w:pPr>
        <w:rPr>
          <w:sz w:val="24"/>
          <w:szCs w:val="24"/>
        </w:rPr>
      </w:pPr>
      <w:r w:rsidRPr="003E2F9C">
        <w:rPr>
          <w:sz w:val="24"/>
          <w:szCs w:val="24"/>
        </w:rPr>
        <w:t>FAUCHER, F. &amp; GARCIA, N. (2017). France. European Journal of Political Research Political Data Yearbook. 56(1): 99-106.</w:t>
      </w:r>
    </w:p>
    <w:p w14:paraId="2C75E6D8" w14:textId="77777777" w:rsidR="003E2F9C" w:rsidRPr="003E2F9C" w:rsidRDefault="003E2F9C" w:rsidP="003E2F9C">
      <w:pPr>
        <w:rPr>
          <w:sz w:val="24"/>
          <w:szCs w:val="24"/>
        </w:rPr>
      </w:pPr>
      <w:r w:rsidRPr="003E2F9C">
        <w:rPr>
          <w:sz w:val="24"/>
          <w:szCs w:val="24"/>
        </w:rPr>
        <w:t>POGUNTKE, T. &amp; KINSKI, L. (2017). Germany. European Journal of Political Research Political Data Yearbook. 56(1): 107-114.</w:t>
      </w:r>
    </w:p>
    <w:p w14:paraId="4225B00E" w14:textId="77777777" w:rsidR="003E2F9C" w:rsidRPr="003E2F9C" w:rsidRDefault="003E2F9C" w:rsidP="003E2F9C">
      <w:pPr>
        <w:rPr>
          <w:sz w:val="24"/>
          <w:szCs w:val="24"/>
        </w:rPr>
      </w:pPr>
      <w:r w:rsidRPr="003E2F9C">
        <w:rPr>
          <w:sz w:val="24"/>
          <w:szCs w:val="24"/>
        </w:rPr>
        <w:t>Facchini, F., &amp; Jaeck, L. (2021). Populism and the rational choice model: The case of the French National Front. Rationality and Society, 1043463121995969.</w:t>
      </w:r>
    </w:p>
    <w:p w14:paraId="3ADFDCC8" w14:textId="77777777" w:rsidR="003E2F9C" w:rsidRPr="003E2F9C" w:rsidRDefault="003E2F9C" w:rsidP="003E2F9C">
      <w:pPr>
        <w:rPr>
          <w:sz w:val="24"/>
          <w:szCs w:val="24"/>
        </w:rPr>
      </w:pPr>
      <w:r w:rsidRPr="003E2F9C">
        <w:rPr>
          <w:sz w:val="24"/>
          <w:szCs w:val="24"/>
        </w:rPr>
        <w:t>Facchini, F., &amp; Jaeck, L. (2019). Ideology and the rationality of non-voting. Rationality and Society, 31(3), 265-286.</w:t>
      </w:r>
    </w:p>
    <w:p w14:paraId="3925BA60" w14:textId="77777777" w:rsidR="003E2F9C" w:rsidRPr="003E2F9C" w:rsidRDefault="003E2F9C" w:rsidP="003E2F9C">
      <w:pPr>
        <w:rPr>
          <w:sz w:val="24"/>
          <w:szCs w:val="24"/>
        </w:rPr>
      </w:pPr>
      <w:r w:rsidRPr="003E2F9C">
        <w:rPr>
          <w:sz w:val="24"/>
          <w:szCs w:val="24"/>
        </w:rPr>
        <w:t>Van der Meer, T. W., Van Deth, J. W., &amp; Scheepers, P. L. (2009). The politicized participant: Ideology and political action in 20 democracies. Comparative Political Studies, 42(11), 1426-1457.</w:t>
      </w:r>
    </w:p>
    <w:p w14:paraId="776BC6EB" w14:textId="77777777" w:rsidR="003E2F9C" w:rsidRPr="003E2F9C" w:rsidRDefault="003E2F9C" w:rsidP="003E2F9C">
      <w:pPr>
        <w:rPr>
          <w:sz w:val="24"/>
          <w:szCs w:val="24"/>
        </w:rPr>
      </w:pPr>
      <w:r w:rsidRPr="003E2F9C">
        <w:rPr>
          <w:sz w:val="24"/>
          <w:szCs w:val="24"/>
        </w:rPr>
        <w:t>Allen, T. J. (2017). All in the party family? Comparing far right voters in Western and Post-Communist Europe. Party Politics, 23(3), 274–285. https://doi.org/10.1177/1354068815593457</w:t>
      </w:r>
    </w:p>
    <w:p w14:paraId="7CBB2199" w14:textId="77777777" w:rsidR="003E2F9C" w:rsidRPr="003E2F9C" w:rsidRDefault="003E2F9C" w:rsidP="003E2F9C">
      <w:pPr>
        <w:rPr>
          <w:sz w:val="24"/>
          <w:szCs w:val="24"/>
        </w:rPr>
      </w:pPr>
      <w:r w:rsidRPr="003E2F9C">
        <w:rPr>
          <w:sz w:val="24"/>
          <w:szCs w:val="24"/>
        </w:rPr>
        <w:t>Allen, T. J. (2017). Exit to the right? Comparing far right voters and abstainers in Western Europe. Electoral Studies, 50, 103-115.</w:t>
      </w:r>
    </w:p>
    <w:p w14:paraId="3204F114" w14:textId="77777777" w:rsidR="003E2F9C" w:rsidRPr="003E2F9C" w:rsidRDefault="003E2F9C" w:rsidP="003E2F9C">
      <w:pPr>
        <w:rPr>
          <w:sz w:val="24"/>
          <w:szCs w:val="24"/>
        </w:rPr>
      </w:pPr>
      <w:r w:rsidRPr="003E2F9C">
        <w:rPr>
          <w:sz w:val="24"/>
          <w:szCs w:val="24"/>
        </w:rPr>
        <w:t>Cutts, D., Ford, R., &amp; Goodwin, M. J. (2011). Anti‐immigrant, politically disaffected or still racist after all? Examining the attitudinal drivers of extreme right support in Britain in the 2009 European elections. European Journal of Political Research, 50(3), 418-440.</w:t>
      </w:r>
    </w:p>
    <w:p w14:paraId="02A167E8" w14:textId="77777777" w:rsidR="003E2F9C" w:rsidRPr="003E2F9C" w:rsidRDefault="003E2F9C" w:rsidP="003E2F9C">
      <w:pPr>
        <w:rPr>
          <w:sz w:val="24"/>
          <w:szCs w:val="24"/>
        </w:rPr>
      </w:pPr>
      <w:r w:rsidRPr="003E2F9C">
        <w:rPr>
          <w:sz w:val="24"/>
          <w:szCs w:val="24"/>
        </w:rPr>
        <w:t>Hjerm, M., &amp; Schnabel, A. (2010). Mobilizing nationalist sentiments: Which factors affect nationalist sentiments in Europe?. Social Science Research, 39(4), 527-539.</w:t>
      </w:r>
    </w:p>
    <w:p w14:paraId="051BE861" w14:textId="77777777" w:rsidR="003E2F9C" w:rsidRPr="003E2F9C" w:rsidRDefault="003E2F9C" w:rsidP="003E2F9C">
      <w:pPr>
        <w:rPr>
          <w:sz w:val="24"/>
          <w:szCs w:val="24"/>
        </w:rPr>
      </w:pPr>
      <w:r w:rsidRPr="003E2F9C">
        <w:rPr>
          <w:sz w:val="24"/>
          <w:szCs w:val="24"/>
        </w:rPr>
        <w:t>de Figueiredo Jr, R. J., &amp; Elkins, Z. (2003). Are patriots bigots? An inquiry into the vices of in‐group pride. American Journal of Political Science, 47(1), 171-188.</w:t>
      </w:r>
    </w:p>
    <w:p w14:paraId="1AAE9474" w14:textId="77777777" w:rsidR="003E2F9C" w:rsidRPr="003E2F9C" w:rsidRDefault="003E2F9C" w:rsidP="003E2F9C">
      <w:pPr>
        <w:rPr>
          <w:sz w:val="24"/>
          <w:szCs w:val="24"/>
        </w:rPr>
      </w:pPr>
      <w:r w:rsidRPr="003E2F9C">
        <w:rPr>
          <w:sz w:val="24"/>
          <w:szCs w:val="24"/>
        </w:rPr>
        <w:t>Lubbers, M., &amp; Coenders, M. (2017). Nationalistic attitudes and voting for the radical right in Europe. European Union Politics, 18(1), 98-118.</w:t>
      </w:r>
    </w:p>
    <w:p w14:paraId="3681EDFD" w14:textId="77777777" w:rsidR="003E2F9C" w:rsidRPr="003E2F9C" w:rsidRDefault="003E2F9C" w:rsidP="003E2F9C">
      <w:pPr>
        <w:rPr>
          <w:sz w:val="24"/>
          <w:szCs w:val="24"/>
        </w:rPr>
      </w:pPr>
      <w:r w:rsidRPr="003E2F9C">
        <w:rPr>
          <w:sz w:val="24"/>
          <w:szCs w:val="24"/>
        </w:rPr>
        <w:t>Freeden, M. (1998). Is nationalism a distinct ideology?. Political studies, 46(4), 748-765.</w:t>
      </w:r>
    </w:p>
    <w:p w14:paraId="3193D4EC" w14:textId="77777777" w:rsidR="003E2F9C" w:rsidRPr="003E2F9C" w:rsidRDefault="003E2F9C" w:rsidP="003E2F9C">
      <w:pPr>
        <w:rPr>
          <w:sz w:val="24"/>
          <w:szCs w:val="24"/>
        </w:rPr>
      </w:pPr>
      <w:r w:rsidRPr="003E2F9C">
        <w:rPr>
          <w:sz w:val="24"/>
          <w:szCs w:val="24"/>
        </w:rPr>
        <w:t>Davidov, E., Schmidt, P., &amp; Schwartz, S. H. (2008). Bringing values back in: The adequacy of the European Social Survey to measure values in 20 countries. Public opinion quarterly, 72(3), 420-445.</w:t>
      </w:r>
    </w:p>
    <w:p w14:paraId="0F5C20FA" w14:textId="77777777" w:rsidR="003E2F9C" w:rsidRPr="003E2F9C" w:rsidRDefault="003E2F9C" w:rsidP="003E2F9C">
      <w:pPr>
        <w:rPr>
          <w:sz w:val="24"/>
          <w:szCs w:val="24"/>
        </w:rPr>
      </w:pPr>
      <w:r w:rsidRPr="003E2F9C">
        <w:rPr>
          <w:sz w:val="24"/>
          <w:szCs w:val="24"/>
        </w:rPr>
        <w:lastRenderedPageBreak/>
        <w:t>Benedetto, G., Hix, S., &amp; Mastrorocco, N. (2020). The rise and fall of social democracy, 1918–2017. American Political Science Review, 114(3), 928-939.</w:t>
      </w:r>
    </w:p>
    <w:p w14:paraId="5C69D5FC" w14:textId="77777777" w:rsidR="003E2F9C" w:rsidRPr="003E2F9C" w:rsidRDefault="003E2F9C" w:rsidP="003E2F9C">
      <w:pPr>
        <w:rPr>
          <w:sz w:val="24"/>
          <w:szCs w:val="24"/>
        </w:rPr>
      </w:pPr>
      <w:r w:rsidRPr="003E2F9C">
        <w:rPr>
          <w:sz w:val="24"/>
          <w:szCs w:val="24"/>
        </w:rPr>
        <w:t>Bieber, F. (2018). Is nationalism on the rise? Assessing global trends. Ethnopolitics, 17(5), 519-540.</w:t>
      </w:r>
    </w:p>
    <w:p w14:paraId="6343031B" w14:textId="77777777" w:rsidR="003E2F9C" w:rsidRPr="003E2F9C" w:rsidRDefault="003E2F9C" w:rsidP="003E2F9C">
      <w:pPr>
        <w:rPr>
          <w:sz w:val="24"/>
          <w:szCs w:val="24"/>
        </w:rPr>
      </w:pPr>
      <w:r w:rsidRPr="003E2F9C">
        <w:rPr>
          <w:sz w:val="24"/>
          <w:szCs w:val="24"/>
        </w:rPr>
        <w:t>Semyonov, M., Raijman, R., &amp; Gorodzeisky, A. (2006). The rise of anti-foreigner sentiment in European societies, 1988-2000. American sociological review, 71(3), 426-449.</w:t>
      </w:r>
    </w:p>
    <w:p w14:paraId="1CDB057E" w14:textId="77777777" w:rsidR="003E2F9C" w:rsidRPr="003E2F9C" w:rsidRDefault="003E2F9C" w:rsidP="003E2F9C">
      <w:pPr>
        <w:rPr>
          <w:sz w:val="24"/>
          <w:szCs w:val="24"/>
        </w:rPr>
      </w:pPr>
      <w:r w:rsidRPr="003E2F9C">
        <w:rPr>
          <w:sz w:val="24"/>
          <w:szCs w:val="24"/>
        </w:rPr>
        <w:t>Bonikowski, B. (2017). Ethno‐nationalist populism and the mobilization of collective resentment. The British Journal of Sociology, 68, S181-S213.</w:t>
      </w:r>
    </w:p>
    <w:p w14:paraId="196E6EB8" w14:textId="77777777" w:rsidR="003E2F9C" w:rsidRPr="003E2F9C" w:rsidRDefault="003E2F9C" w:rsidP="003E2F9C">
      <w:pPr>
        <w:rPr>
          <w:sz w:val="24"/>
          <w:szCs w:val="24"/>
        </w:rPr>
      </w:pPr>
      <w:r w:rsidRPr="003E2F9C">
        <w:rPr>
          <w:sz w:val="24"/>
          <w:szCs w:val="24"/>
        </w:rPr>
        <w:t>Rooduijn, M., Bonikowski, B., &amp; Parlevliet, J. (2021). Populist and nativist attitudes: Does ingroup/outgroup thinking spill over across domains?. European Union Politics, 1465116521992876.</w:t>
      </w:r>
    </w:p>
    <w:p w14:paraId="3C9A484F" w14:textId="77777777" w:rsidR="003E2F9C" w:rsidRPr="003E2F9C" w:rsidRDefault="003E2F9C" w:rsidP="003E2F9C">
      <w:pPr>
        <w:rPr>
          <w:sz w:val="24"/>
          <w:szCs w:val="24"/>
        </w:rPr>
      </w:pPr>
      <w:r w:rsidRPr="003E2F9C">
        <w:rPr>
          <w:sz w:val="24"/>
          <w:szCs w:val="24"/>
        </w:rPr>
        <w:t>Golder, M. (2016). Far right parties in Europe. Annual Review of Political Science, 19, 477-497.</w:t>
      </w:r>
    </w:p>
    <w:p w14:paraId="05D4D2C6" w14:textId="77777777" w:rsidR="003E2F9C" w:rsidRPr="003E2F9C" w:rsidRDefault="003E2F9C" w:rsidP="003E2F9C">
      <w:pPr>
        <w:rPr>
          <w:sz w:val="24"/>
          <w:szCs w:val="24"/>
        </w:rPr>
      </w:pPr>
      <w:r w:rsidRPr="003E2F9C">
        <w:rPr>
          <w:sz w:val="24"/>
          <w:szCs w:val="24"/>
        </w:rPr>
        <w:t>Mudde, C., &amp; Kaltwasser, C. R. (2017). Populism: A very short introduction. Oxford University Press.</w:t>
      </w:r>
    </w:p>
    <w:p w14:paraId="50A6A1C3" w14:textId="77777777" w:rsidR="003E2F9C" w:rsidRPr="003E2F9C" w:rsidRDefault="003E2F9C" w:rsidP="003E2F9C">
      <w:pPr>
        <w:rPr>
          <w:sz w:val="24"/>
          <w:szCs w:val="24"/>
        </w:rPr>
      </w:pPr>
      <w:r w:rsidRPr="003E2F9C">
        <w:rPr>
          <w:sz w:val="24"/>
          <w:szCs w:val="24"/>
        </w:rPr>
        <w:t>Mudde, C. (2019). The far right today. John Wiley &amp; Sons.</w:t>
      </w:r>
    </w:p>
    <w:p w14:paraId="239899A5" w14:textId="77777777" w:rsidR="003E2F9C" w:rsidRPr="003E2F9C" w:rsidRDefault="003E2F9C" w:rsidP="003E2F9C">
      <w:pPr>
        <w:rPr>
          <w:sz w:val="24"/>
          <w:szCs w:val="24"/>
        </w:rPr>
      </w:pPr>
      <w:r w:rsidRPr="003E2F9C">
        <w:rPr>
          <w:sz w:val="24"/>
          <w:szCs w:val="24"/>
        </w:rPr>
        <w:t>Halikiopoulou, D., &amp; Vlandas, T. (2019). What is new and what is nationalist about Europe's new nationalism? Explaining the rise of the far right in Europe. Nations and nationalism, 25(2), 409-434.</w:t>
      </w:r>
    </w:p>
    <w:p w14:paraId="304B26AF" w14:textId="77777777" w:rsidR="003E2F9C" w:rsidRPr="003E2F9C" w:rsidRDefault="003E2F9C" w:rsidP="003E2F9C">
      <w:pPr>
        <w:rPr>
          <w:sz w:val="24"/>
          <w:szCs w:val="24"/>
        </w:rPr>
      </w:pPr>
      <w:r w:rsidRPr="003E2F9C">
        <w:rPr>
          <w:sz w:val="24"/>
          <w:szCs w:val="24"/>
        </w:rPr>
        <w:t>Martinez, M. D., &amp; Gill, J. (2005). The effects of turnout on partisan outcomes in US presidential elections 1960–2000. The Journal of Politics, 67(4), 1248-1274.</w:t>
      </w:r>
    </w:p>
    <w:p w14:paraId="4E17D5F3" w14:textId="77777777" w:rsidR="003E2F9C" w:rsidRPr="003E2F9C" w:rsidRDefault="003E2F9C" w:rsidP="003E2F9C">
      <w:pPr>
        <w:rPr>
          <w:sz w:val="24"/>
          <w:szCs w:val="24"/>
        </w:rPr>
      </w:pPr>
      <w:r w:rsidRPr="003E2F9C">
        <w:rPr>
          <w:sz w:val="24"/>
          <w:szCs w:val="24"/>
        </w:rPr>
        <w:t>Lutz, G., &amp; Marsh, M. (2007). Introduction: Consequences of low turnout. Electoral Studies, 26(3), 539-547.</w:t>
      </w:r>
    </w:p>
    <w:p w14:paraId="0377A4F8" w14:textId="77777777" w:rsidR="003E2F9C" w:rsidRPr="003E2F9C" w:rsidRDefault="003E2F9C" w:rsidP="003E2F9C">
      <w:pPr>
        <w:rPr>
          <w:sz w:val="24"/>
          <w:szCs w:val="24"/>
        </w:rPr>
      </w:pPr>
      <w:r w:rsidRPr="003E2F9C">
        <w:rPr>
          <w:sz w:val="24"/>
          <w:szCs w:val="24"/>
        </w:rPr>
        <w:t>Immerzeel, T., &amp; Pickup, M. (2015). Populist radical right parties mobilizing ‘the people’? The role of populist radical right success in voter turnout. Electoral Studies, 40, 347-360.</w:t>
      </w:r>
    </w:p>
    <w:p w14:paraId="200081D5" w14:textId="77777777" w:rsidR="003E2F9C" w:rsidRPr="003E2F9C" w:rsidRDefault="003E2F9C" w:rsidP="003E2F9C">
      <w:pPr>
        <w:rPr>
          <w:sz w:val="24"/>
          <w:szCs w:val="24"/>
        </w:rPr>
      </w:pPr>
      <w:r w:rsidRPr="003E2F9C">
        <w:rPr>
          <w:sz w:val="24"/>
          <w:szCs w:val="24"/>
        </w:rPr>
        <w:t>Finseraas, H., &amp; Vernby, K. (2014). A mixed blessing for the left? Early voting, turnout and election outcomes in Norway. Electoral Studies, 33, 278-291.</w:t>
      </w:r>
    </w:p>
    <w:p w14:paraId="4E8183A6" w14:textId="77777777" w:rsidR="003E2F9C" w:rsidRPr="003E2F9C" w:rsidRDefault="003E2F9C" w:rsidP="003E2F9C">
      <w:pPr>
        <w:rPr>
          <w:sz w:val="24"/>
          <w:szCs w:val="24"/>
        </w:rPr>
      </w:pPr>
      <w:r w:rsidRPr="003E2F9C">
        <w:rPr>
          <w:sz w:val="24"/>
          <w:szCs w:val="24"/>
        </w:rPr>
        <w:t>Berman, S. (2019). Populism is a symptom rather than a cause: Democratic disconnect, the decline of the center-left, and the rise of populism in Western Europe. Polity, 51(4), 654-667.</w:t>
      </w:r>
    </w:p>
    <w:p w14:paraId="59A444C8" w14:textId="77777777" w:rsidR="003E2F9C" w:rsidRPr="003E2F9C" w:rsidRDefault="003E2F9C" w:rsidP="003E2F9C">
      <w:pPr>
        <w:rPr>
          <w:sz w:val="24"/>
          <w:szCs w:val="24"/>
        </w:rPr>
      </w:pPr>
      <w:r w:rsidRPr="003E2F9C">
        <w:rPr>
          <w:sz w:val="24"/>
          <w:szCs w:val="24"/>
        </w:rPr>
        <w:t>Berman, S., &amp; Snegovaya, M. (2019). Populism and the decline of social democracy. Journal of Democracy, 30(3), 5-19.</w:t>
      </w:r>
    </w:p>
    <w:p w14:paraId="0DEF7F75" w14:textId="77777777" w:rsidR="003E2F9C" w:rsidRPr="003E2F9C" w:rsidRDefault="003E2F9C" w:rsidP="003E2F9C">
      <w:pPr>
        <w:rPr>
          <w:sz w:val="24"/>
          <w:szCs w:val="24"/>
        </w:rPr>
      </w:pPr>
      <w:r w:rsidRPr="003E2F9C">
        <w:rPr>
          <w:sz w:val="24"/>
          <w:szCs w:val="24"/>
        </w:rPr>
        <w:t>ESS Round 9: European Social Survey Round 9 Data (2018). Data file edition 3.1. NSD - Norwegian Centre for Research Data, Norway – Data Archive and distributor of ESS data for ESS ERIC. doi:10.21338/NSD-ESS9-2018.</w:t>
      </w:r>
    </w:p>
    <w:p w14:paraId="37F953F7" w14:textId="77777777" w:rsidR="003E2F9C" w:rsidRPr="003E2F9C" w:rsidRDefault="003E2F9C" w:rsidP="003E2F9C">
      <w:pPr>
        <w:rPr>
          <w:sz w:val="24"/>
          <w:szCs w:val="24"/>
        </w:rPr>
      </w:pPr>
      <w:r w:rsidRPr="003E2F9C">
        <w:rPr>
          <w:sz w:val="24"/>
          <w:szCs w:val="24"/>
        </w:rPr>
        <w:t>ESS Round 8: European Social Survey Round 8 Data (2016). Data file edition 2.2. NSD - Norwegian Centre for Research Data, Norway – Data Archive and distributor of ESS data for ESS ERIC. doi:10.21338/NSD-ESS8-2016.</w:t>
      </w:r>
    </w:p>
    <w:p w14:paraId="731707DD" w14:textId="77777777" w:rsidR="003E2F9C" w:rsidRPr="003E2F9C" w:rsidRDefault="003E2F9C" w:rsidP="003E2F9C">
      <w:pPr>
        <w:rPr>
          <w:sz w:val="24"/>
          <w:szCs w:val="24"/>
        </w:rPr>
      </w:pPr>
      <w:r w:rsidRPr="003E2F9C">
        <w:rPr>
          <w:sz w:val="24"/>
          <w:szCs w:val="24"/>
        </w:rPr>
        <w:lastRenderedPageBreak/>
        <w:t>ESS Round 7: European Social Survey Round 7 Data (2014). Data file edition 2.2. NSD - Norwegian Centre for Research Data, Norway – Data Archive and distributor of ESS data for ESS ERIC. doi:10.21338/NSD-ESS7-2014.</w:t>
      </w:r>
    </w:p>
    <w:p w14:paraId="5595A105" w14:textId="77777777" w:rsidR="003E2F9C" w:rsidRPr="003E2F9C" w:rsidRDefault="003E2F9C" w:rsidP="003E2F9C">
      <w:pPr>
        <w:rPr>
          <w:sz w:val="24"/>
          <w:szCs w:val="24"/>
        </w:rPr>
      </w:pPr>
      <w:r w:rsidRPr="003E2F9C">
        <w:rPr>
          <w:sz w:val="24"/>
          <w:szCs w:val="24"/>
        </w:rPr>
        <w:t>ESS Round 6: European Social Survey Round 6 Data (2012). Data file edition 2.4. NSD - Norwegian Centre for Research Data, Norway – Data Archive and distributor of ESS data for ESS ERIC. doi:10.21338/NSD-ESS6-2012.</w:t>
      </w:r>
    </w:p>
    <w:p w14:paraId="684F20D8" w14:textId="77777777" w:rsidR="003E2F9C" w:rsidRPr="003E2F9C" w:rsidRDefault="003E2F9C" w:rsidP="003E2F9C">
      <w:pPr>
        <w:rPr>
          <w:sz w:val="24"/>
          <w:szCs w:val="24"/>
        </w:rPr>
      </w:pPr>
      <w:r w:rsidRPr="003E2F9C">
        <w:rPr>
          <w:sz w:val="24"/>
          <w:szCs w:val="24"/>
        </w:rPr>
        <w:t>ESS Round 5: European Social Survey Round 5 Data (2010). Data file edition 3.4. NSD - Norwegian Centre for Research Data, Norway – Data Archive and distributor of ESS data for ESS ERIC. doi:10.21338/NSD-ESS5-2010.</w:t>
      </w:r>
    </w:p>
    <w:p w14:paraId="3EABEB1D" w14:textId="77777777" w:rsidR="003E2F9C" w:rsidRPr="003E2F9C" w:rsidRDefault="003E2F9C" w:rsidP="003E2F9C">
      <w:pPr>
        <w:rPr>
          <w:sz w:val="24"/>
          <w:szCs w:val="24"/>
        </w:rPr>
      </w:pPr>
      <w:r w:rsidRPr="003E2F9C">
        <w:rPr>
          <w:sz w:val="24"/>
          <w:szCs w:val="24"/>
        </w:rPr>
        <w:t>ESS Round 4: European Social Survey Round 4 Data (2008). Data file edition 4.5. NSD - Norwegian Centre for Research Data, Norway – Data Archive and distributor of ESS data for ESS ERIC. doi:10.21338/NSD-ESS4-2008.</w:t>
      </w:r>
    </w:p>
    <w:p w14:paraId="64679FE9" w14:textId="77777777" w:rsidR="003E2F9C" w:rsidRPr="003E2F9C" w:rsidRDefault="003E2F9C" w:rsidP="003E2F9C">
      <w:pPr>
        <w:rPr>
          <w:sz w:val="24"/>
          <w:szCs w:val="24"/>
        </w:rPr>
      </w:pPr>
      <w:r w:rsidRPr="003E2F9C">
        <w:rPr>
          <w:sz w:val="24"/>
          <w:szCs w:val="24"/>
        </w:rPr>
        <w:t>ESS Round 3: European Social Survey Round 3 Data (2006). Data file edition 3.7. NSD - Norwegian Centre for Research Data, Norway – Data Archive and distributor of ESS data for ESS ERIC. doi:10.21338/NSD-ESS3-2006.</w:t>
      </w:r>
    </w:p>
    <w:p w14:paraId="766E8874" w14:textId="77777777" w:rsidR="003E2F9C" w:rsidRPr="003E2F9C" w:rsidRDefault="003E2F9C" w:rsidP="003E2F9C">
      <w:pPr>
        <w:rPr>
          <w:sz w:val="24"/>
          <w:szCs w:val="24"/>
        </w:rPr>
      </w:pPr>
      <w:r w:rsidRPr="003E2F9C">
        <w:rPr>
          <w:sz w:val="24"/>
          <w:szCs w:val="24"/>
        </w:rPr>
        <w:t>ESS Round 2: European Social Survey Round 2 Data (2004). Data file edition 3.6. NSD - Norwegian Centre for Research Data, Norway – Data Archive and distributor of ESS data for ESS ERIC. doi:10.21338/NSD-ESS2-2004.</w:t>
      </w:r>
    </w:p>
    <w:p w14:paraId="7560DF26" w14:textId="0975D00B" w:rsidR="003E2F9C" w:rsidRPr="00FE5C5A" w:rsidRDefault="003E2F9C" w:rsidP="003E2F9C">
      <w:pPr>
        <w:rPr>
          <w:sz w:val="24"/>
          <w:szCs w:val="24"/>
        </w:rPr>
      </w:pPr>
      <w:r w:rsidRPr="003E2F9C">
        <w:rPr>
          <w:sz w:val="24"/>
          <w:szCs w:val="24"/>
        </w:rPr>
        <w:t>ESS Round 1: European Social Survey Round 1 Data (2002). Data file edition 6.6. NSD - Norwegian Centre for Research Data, Norway – Data Archive and distributor of ESS data for ESS ERIC. doi:10.21338/NSD-ESS1-2002.</w:t>
      </w:r>
    </w:p>
    <w:sectPr w:rsidR="003E2F9C" w:rsidRPr="00FE5C5A" w:rsidSect="00C60C4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CA770" w14:textId="77777777" w:rsidR="000101C9" w:rsidRDefault="000101C9" w:rsidP="00E512A5">
      <w:pPr>
        <w:spacing w:after="0" w:line="240" w:lineRule="auto"/>
      </w:pPr>
      <w:r>
        <w:separator/>
      </w:r>
    </w:p>
  </w:endnote>
  <w:endnote w:type="continuationSeparator" w:id="0">
    <w:p w14:paraId="5C112D07" w14:textId="77777777" w:rsidR="000101C9" w:rsidRDefault="000101C9" w:rsidP="00E5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62097"/>
      <w:docPartObj>
        <w:docPartGallery w:val="Page Numbers (Bottom of Page)"/>
        <w:docPartUnique/>
      </w:docPartObj>
    </w:sdtPr>
    <w:sdtEndPr>
      <w:rPr>
        <w:noProof/>
      </w:rPr>
    </w:sdtEndPr>
    <w:sdtContent>
      <w:p w14:paraId="268980EB" w14:textId="5F1FC8FC" w:rsidR="008870E5" w:rsidRDefault="008870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8CC50" w14:textId="77777777" w:rsidR="008870E5" w:rsidRDefault="0088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B9538" w14:textId="77777777" w:rsidR="000101C9" w:rsidRDefault="000101C9" w:rsidP="00E512A5">
      <w:pPr>
        <w:spacing w:after="0" w:line="240" w:lineRule="auto"/>
      </w:pPr>
      <w:r>
        <w:separator/>
      </w:r>
    </w:p>
  </w:footnote>
  <w:footnote w:type="continuationSeparator" w:id="0">
    <w:p w14:paraId="66FFF83E" w14:textId="77777777" w:rsidR="000101C9" w:rsidRDefault="000101C9" w:rsidP="00E512A5">
      <w:pPr>
        <w:spacing w:after="0" w:line="240" w:lineRule="auto"/>
      </w:pPr>
      <w:r>
        <w:continuationSeparator/>
      </w:r>
    </w:p>
  </w:footnote>
  <w:footnote w:id="1">
    <w:p w14:paraId="0B063935" w14:textId="79C2231C" w:rsidR="00E512A5" w:rsidRDefault="00E512A5">
      <w:pPr>
        <w:pStyle w:val="FootnoteText"/>
      </w:pPr>
      <w:r>
        <w:rPr>
          <w:rStyle w:val="FootnoteReference"/>
        </w:rPr>
        <w:footnoteRef/>
      </w:r>
      <w:r>
        <w:t xml:space="preserve"> Because nativism, particularly anti-immigrant nativism, comes in different </w:t>
      </w:r>
      <w:r w:rsidR="003456A0">
        <w:t>forms, we also track in our models 3 other variables: IMWBCNT, which asks respondents whether the country is a worse or better place to live due to immigrants (nationalists should have a lower self-placement); IMBGECO, whether immigration is bad or good for the country’s economy (nationalists should have a lower self-placement); and IMPCNTR, whether the country should allow many or few immigrants from poorer countries outside Europe (nationalists should have a higher self-placement). While these alternative variables are important to consider, we believe IMUECLT more closely correlates with nationalist attitudes due to its particular focus on cultural life.</w:t>
      </w:r>
    </w:p>
  </w:footnote>
  <w:footnote w:id="2">
    <w:p w14:paraId="0FDBA02F" w14:textId="060678DC" w:rsidR="00D80D9E" w:rsidRDefault="00D80D9E">
      <w:pPr>
        <w:pStyle w:val="FootnoteText"/>
      </w:pPr>
      <w:r>
        <w:rPr>
          <w:rStyle w:val="FootnoteReference"/>
        </w:rPr>
        <w:footnoteRef/>
      </w:r>
      <w:r>
        <w:t xml:space="preserve"> These parties are regularly referred to as the definitive nationalist party in their respective countries (see, for instance, </w:t>
      </w:r>
      <w:r w:rsidR="006B11D7">
        <w:t>Halikiopoulou and Vlandas 2019). The one outlier may be AfD, which competes with the NPD for ultra-nationalist voters, particularly in Eastern Germany.</w:t>
      </w:r>
    </w:p>
  </w:footnote>
  <w:footnote w:id="3">
    <w:p w14:paraId="5100556F" w14:textId="7052852B" w:rsidR="00CC4CAD" w:rsidRDefault="00CC4CAD">
      <w:pPr>
        <w:pStyle w:val="FootnoteText"/>
      </w:pPr>
      <w:r>
        <w:rPr>
          <w:rStyle w:val="FootnoteReference"/>
        </w:rPr>
        <w:footnoteRef/>
      </w:r>
      <w:r>
        <w:t xml:space="preserve"> 3 other questions we believe are somewhat related to social democratic attitudes: IPEQOPT, how important is it that people are treated equally and have similar opportunities; IPUDRST, how important is it to understand different people; and IPHLPPL, how important is it to help people and care for others’ well-being. Lower scores on each of these variables should indicate more agreement, and thus more social democratic attitudes. These questions are less direct than GINCDIF, so we focus our analysis on GINCDIF, but they are included in later models.</w:t>
      </w:r>
    </w:p>
  </w:footnote>
  <w:footnote w:id="4">
    <w:p w14:paraId="05B98F23" w14:textId="5100B972" w:rsidR="00D80D9E" w:rsidRDefault="00D80D9E">
      <w:pPr>
        <w:pStyle w:val="FootnoteText"/>
      </w:pPr>
      <w:r>
        <w:rPr>
          <w:rStyle w:val="FootnoteReference"/>
        </w:rPr>
        <w:footnoteRef/>
      </w:r>
      <w:r>
        <w:t xml:space="preserve"> These are the representatives for each country in the Party of European Socialists, the pan-European social democratic party.</w:t>
      </w:r>
    </w:p>
  </w:footnote>
  <w:footnote w:id="5">
    <w:p w14:paraId="304EBF58" w14:textId="7FAFFE84" w:rsidR="00E1715B" w:rsidRDefault="00E1715B">
      <w:pPr>
        <w:pStyle w:val="FootnoteText"/>
      </w:pPr>
      <w:r>
        <w:rPr>
          <w:rStyle w:val="FootnoteReference"/>
        </w:rPr>
        <w:footnoteRef/>
      </w:r>
      <w:r>
        <w:t xml:space="preserve"> The logistic regression from which these predicted probabilities are drawn is a bivariate model, with the dependent variable being a vote cast for the social democratic party, and the independent variable being </w:t>
      </w:r>
      <w:r w:rsidR="00866975">
        <w:t>1 if the GINCDIF score for the respondent is less than 3, and 0 if it is greater than 3.</w:t>
      </w:r>
    </w:p>
  </w:footnote>
  <w:footnote w:id="6">
    <w:p w14:paraId="2408D1A3" w14:textId="60F8FABF" w:rsidR="00CC4CAD" w:rsidRDefault="00CC4CAD">
      <w:pPr>
        <w:pStyle w:val="FootnoteText"/>
      </w:pPr>
      <w:r>
        <w:rPr>
          <w:rStyle w:val="FootnoteReference"/>
        </w:rPr>
        <w:footnoteRef/>
      </w:r>
      <w:r>
        <w:t xml:space="preserve"> The model also accounts for control variables IMWBCNT, IMBGECO, IMPCNTR, IPEQOPT, IPUDRST, and IPHLPPL, described in footnotes 1 and 2.</w:t>
      </w:r>
    </w:p>
  </w:footnote>
  <w:footnote w:id="7">
    <w:p w14:paraId="3B00C1AD" w14:textId="3679BFD2" w:rsidR="005A78E9" w:rsidRDefault="005A78E9">
      <w:pPr>
        <w:pStyle w:val="FootnoteText"/>
      </w:pPr>
      <w:r>
        <w:rPr>
          <w:rStyle w:val="FootnoteReference"/>
        </w:rPr>
        <w:footnoteRef/>
      </w:r>
      <w:r>
        <w:t xml:space="preserve"> As a reminder, our hypotheses are about changes over time, rather than whether, for example, nationalist voters vote </w:t>
      </w:r>
      <w:r w:rsidR="003C2E4F">
        <w:t>more than non-nationalist voters. As such, in our attempts to generate predicted probabilities, we care less about statistical significance; the statistical significance is simply a reflection of reliability of the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325698"/>
      <w:docPartObj>
        <w:docPartGallery w:val="Page Numbers (Top of Page)"/>
        <w:docPartUnique/>
      </w:docPartObj>
    </w:sdtPr>
    <w:sdtEndPr>
      <w:rPr>
        <w:noProof/>
      </w:rPr>
    </w:sdtEndPr>
    <w:sdtContent>
      <w:p w14:paraId="79C5B81A" w14:textId="4DA48EEA" w:rsidR="008870E5" w:rsidRDefault="008870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4E17D5" w14:textId="77777777" w:rsidR="008870E5" w:rsidRDefault="0088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9F5DDA"/>
    <w:multiLevelType w:val="hybridMultilevel"/>
    <w:tmpl w:val="040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5E"/>
    <w:rsid w:val="000101C9"/>
    <w:rsid w:val="00012920"/>
    <w:rsid w:val="00082AAA"/>
    <w:rsid w:val="000B7940"/>
    <w:rsid w:val="000E0240"/>
    <w:rsid w:val="000E1E9E"/>
    <w:rsid w:val="00135E4D"/>
    <w:rsid w:val="001522F7"/>
    <w:rsid w:val="00156BAA"/>
    <w:rsid w:val="00174AF8"/>
    <w:rsid w:val="001872FE"/>
    <w:rsid w:val="0025553B"/>
    <w:rsid w:val="00271625"/>
    <w:rsid w:val="002A6533"/>
    <w:rsid w:val="002B2BF9"/>
    <w:rsid w:val="002C774A"/>
    <w:rsid w:val="002D4E99"/>
    <w:rsid w:val="002E28AB"/>
    <w:rsid w:val="00321BF3"/>
    <w:rsid w:val="003243F3"/>
    <w:rsid w:val="003456A0"/>
    <w:rsid w:val="00362BAC"/>
    <w:rsid w:val="003B5AA9"/>
    <w:rsid w:val="003B7FCB"/>
    <w:rsid w:val="003C2E4F"/>
    <w:rsid w:val="003E2F9C"/>
    <w:rsid w:val="003E30EF"/>
    <w:rsid w:val="00437310"/>
    <w:rsid w:val="004628FF"/>
    <w:rsid w:val="00487422"/>
    <w:rsid w:val="004A4BE6"/>
    <w:rsid w:val="004D2D94"/>
    <w:rsid w:val="004F5C63"/>
    <w:rsid w:val="00513744"/>
    <w:rsid w:val="00554D28"/>
    <w:rsid w:val="005657C5"/>
    <w:rsid w:val="00571E2B"/>
    <w:rsid w:val="005A3DF4"/>
    <w:rsid w:val="005A78E9"/>
    <w:rsid w:val="005F59E0"/>
    <w:rsid w:val="00604B19"/>
    <w:rsid w:val="00631B5D"/>
    <w:rsid w:val="00654CD2"/>
    <w:rsid w:val="006B0A2E"/>
    <w:rsid w:val="006B11D7"/>
    <w:rsid w:val="006C2407"/>
    <w:rsid w:val="006F5D3A"/>
    <w:rsid w:val="00727698"/>
    <w:rsid w:val="007A492E"/>
    <w:rsid w:val="007D7216"/>
    <w:rsid w:val="0080735A"/>
    <w:rsid w:val="00830D7D"/>
    <w:rsid w:val="00843DBF"/>
    <w:rsid w:val="00866975"/>
    <w:rsid w:val="008870E5"/>
    <w:rsid w:val="008D7081"/>
    <w:rsid w:val="008F268C"/>
    <w:rsid w:val="00903EEB"/>
    <w:rsid w:val="00916F39"/>
    <w:rsid w:val="00924981"/>
    <w:rsid w:val="00925F5F"/>
    <w:rsid w:val="00993D9D"/>
    <w:rsid w:val="009A09C1"/>
    <w:rsid w:val="009B4473"/>
    <w:rsid w:val="00A26B77"/>
    <w:rsid w:val="00A409BB"/>
    <w:rsid w:val="00A65B43"/>
    <w:rsid w:val="00AB7A75"/>
    <w:rsid w:val="00B116E0"/>
    <w:rsid w:val="00B1677C"/>
    <w:rsid w:val="00B473E4"/>
    <w:rsid w:val="00B60B3B"/>
    <w:rsid w:val="00B67012"/>
    <w:rsid w:val="00B808C8"/>
    <w:rsid w:val="00B85FDB"/>
    <w:rsid w:val="00B87EDD"/>
    <w:rsid w:val="00BB00D7"/>
    <w:rsid w:val="00BD2199"/>
    <w:rsid w:val="00BD649D"/>
    <w:rsid w:val="00BF45B7"/>
    <w:rsid w:val="00C60C48"/>
    <w:rsid w:val="00C65AAF"/>
    <w:rsid w:val="00C75693"/>
    <w:rsid w:val="00CC4CAD"/>
    <w:rsid w:val="00CD0650"/>
    <w:rsid w:val="00CF185E"/>
    <w:rsid w:val="00CF3211"/>
    <w:rsid w:val="00D24189"/>
    <w:rsid w:val="00D31194"/>
    <w:rsid w:val="00D5278D"/>
    <w:rsid w:val="00D61F68"/>
    <w:rsid w:val="00D67F52"/>
    <w:rsid w:val="00D80D9E"/>
    <w:rsid w:val="00DB5401"/>
    <w:rsid w:val="00DF43F8"/>
    <w:rsid w:val="00E1715B"/>
    <w:rsid w:val="00E34967"/>
    <w:rsid w:val="00E512A5"/>
    <w:rsid w:val="00EA1A6B"/>
    <w:rsid w:val="00ED1C1F"/>
    <w:rsid w:val="00F5477B"/>
    <w:rsid w:val="00F54FBC"/>
    <w:rsid w:val="00F83385"/>
    <w:rsid w:val="00FA218F"/>
    <w:rsid w:val="00FB0460"/>
    <w:rsid w:val="00FC52D5"/>
    <w:rsid w:val="00FD0D76"/>
    <w:rsid w:val="00FE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3ED0"/>
  <w15:chartTrackingRefBased/>
  <w15:docId w15:val="{118F6B92-9BF8-4CAC-918A-143E74AA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C5A"/>
    <w:pPr>
      <w:ind w:left="720"/>
      <w:contextualSpacing/>
    </w:pPr>
  </w:style>
  <w:style w:type="paragraph" w:styleId="FootnoteText">
    <w:name w:val="footnote text"/>
    <w:basedOn w:val="Normal"/>
    <w:link w:val="FootnoteTextChar"/>
    <w:uiPriority w:val="99"/>
    <w:semiHidden/>
    <w:unhideWhenUsed/>
    <w:rsid w:val="00E51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2A5"/>
    <w:rPr>
      <w:sz w:val="20"/>
      <w:szCs w:val="20"/>
    </w:rPr>
  </w:style>
  <w:style w:type="character" w:styleId="FootnoteReference">
    <w:name w:val="footnote reference"/>
    <w:basedOn w:val="DefaultParagraphFont"/>
    <w:uiPriority w:val="99"/>
    <w:semiHidden/>
    <w:unhideWhenUsed/>
    <w:rsid w:val="00E512A5"/>
    <w:rPr>
      <w:vertAlign w:val="superscript"/>
    </w:rPr>
  </w:style>
  <w:style w:type="table" w:styleId="TableGrid">
    <w:name w:val="Table Grid"/>
    <w:basedOn w:val="TableNormal"/>
    <w:uiPriority w:val="39"/>
    <w:rsid w:val="0034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48"/>
  </w:style>
  <w:style w:type="paragraph" w:styleId="Footer">
    <w:name w:val="footer"/>
    <w:basedOn w:val="Normal"/>
    <w:link w:val="FooterChar"/>
    <w:uiPriority w:val="99"/>
    <w:unhideWhenUsed/>
    <w:rsid w:val="00C60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211052">
      <w:bodyDiv w:val="1"/>
      <w:marLeft w:val="0"/>
      <w:marRight w:val="0"/>
      <w:marTop w:val="0"/>
      <w:marBottom w:val="0"/>
      <w:divBdr>
        <w:top w:val="none" w:sz="0" w:space="0" w:color="auto"/>
        <w:left w:val="none" w:sz="0" w:space="0" w:color="auto"/>
        <w:bottom w:val="none" w:sz="0" w:space="0" w:color="auto"/>
        <w:right w:val="none" w:sz="0" w:space="0" w:color="auto"/>
      </w:divBdr>
    </w:div>
    <w:div w:id="17417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B652F-8B10-4D00-AD87-64AABDEC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23</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Allen</dc:creator>
  <cp:keywords/>
  <dc:description/>
  <cp:lastModifiedBy>Geoff Allen</cp:lastModifiedBy>
  <cp:revision>76</cp:revision>
  <dcterms:created xsi:type="dcterms:W3CDTF">2021-03-21T02:10:00Z</dcterms:created>
  <dcterms:modified xsi:type="dcterms:W3CDTF">2021-03-30T02:15:00Z</dcterms:modified>
</cp:coreProperties>
</file>